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185</w:t>
      </w:r>
    </w:p>
    <w:p>
      <w:r>
        <w:t>Bundesgericht (BGE), 1982-01-01, DE</w:t>
      </w:r>
    </w:p>
    <w:p>
      <w:r>
        <w:rPr>
          <w:b/>
        </w:rPr>
        <w:t xml:space="preserve">Quelle: </w:t>
      </w:r>
      <w:r>
        <w:t>https://mcp.opencaselaw.ch/entscheid/bge_BGE_108_IV_185</w:t>
      </w:r>
    </w:p>
    <w:p>
      <w:r>
        <w:t>FR: ATF 108 IV 185</w:t>
      </w:r>
    </w:p>
    <w:p>
      <w:r>
        <w:t>IT: DTF 108 IV 185</w:t>
      </w:r>
    </w:p>
    <w:p>
      <w:pPr>
        <w:pStyle w:val="Heading2"/>
      </w:pPr>
      <w:r>
        <w:t>Regeste</w:t>
      </w:r>
    </w:p>
    <w:p>
      <w:r>
        <w:t>Regeste Art. 293 StGB; Auslegung des Begriffs "geheim"; Verhältnis zu Art. 22 GRN (SR 171.13). 1. Der Begriff "geheim" ist gleichbedeutend mit gesetzlich oder behördlich erklärtem Ausschluss der Öffentlichkeit. Ein als "vertraulich" bezeichneter Bericht des EMD an die Mitglieder der Geschäftsprüfungskommission des Nationalrates ist solange "geheim", als er nicht für die Öffentlichkeit bestimmt ist (E. 1a). 2. Die gesetzliche oder behördliche Erklärung bestimmt Dauer und Umfang der Geheimhaltung sowie den Kreis der dem Geheimhaltungsgebot unterstehenden Personen (E. 1b). 3. Dem in Art. 22 GRN statuierten "Sitzungsgeheimnis" sind nicht nur die Verhandlungen, sondern auch deren Gegenstand bildende Unterlagen unterstellt, sofern sie nicht zum vornherein allgemein zugänglich sind (E. 1c und d).</w:t>
      </w:r>
    </w:p>
    <w:p>
      <w:r>
        <w:t>Regeste Art. 293 CP; définition du "secret" au regard de l'art. 22 RCN (RS 171.13). 1. Le "secret" sous-entend l'interdiction de rendre publique une information en vertu de la loi ou d'une décision de l'autorité. Un rapport portant la mention "confidentiel" adressé par le DMF aux membres de la commission de gestion du Conseil national est secret jusqu'au moment où il est destiné à être rendu public (consid. 1 litt. a). 2. C'est la loi ou la décision de l'autorité qui détermine la durée et l'étendue du secret ainsi que le cercle des personnes qui y sont tenues (c. 1 litt. b). 3. Le secret prévu à l'art. 22 RCN s'étend non seulement aux délibérations, mais aussi aux documents qui en sont l'objet, dans la mesure où ils ne sont pas sans autre accessibles à tous (consid. 1 litt. c et d).</w:t>
      </w:r>
    </w:p>
    <w:p>
      <w:r>
        <w:t>Regesto Art. 293 CP; nozione di "segreto" con riferimento all'art. 22 del regolamento del Consiglio nazionale (RS 171.13). 1. Il "segreto" sottintende il divieto, in virtù della legge o di una decisione presa dall'autorità, di rendere pubblica un'informazione. Un rapporto che porta la menzione "confidenziale", trasmesso dal Dipartimento militare federale ai membri della Commissione della gestione del Consiglio nazionale, è segreto fino al momento in cui sia destinato ad essere reso pubblico (consid. 1a). 2. La durata e l'estensione del segreto, come pure la cerchia delle persone che vi sono tenute, sono determinate dalla legge o dalla decisione presa dall'autorità (consid. 1b). 3. Il segreto previsto dall'art. 22 del regolamento del Consiglio nazionale non si estende soltanto alle deliberazioni, ma altresì ai documenti che ne costituiscono l'oggetto, nella misura in cui essi non siano senz'altro accessibili a tutti (consid. 1c, d).</w:t>
      </w:r>
    </w:p>
    <w:p>
      <w:pPr>
        <w:pStyle w:val="Heading2"/>
      </w:pPr>
      <w:r>
        <w:t>Erwägungen</w:t>
      </w:r>
    </w:p>
    <w:p>
      <w:r>
        <w:rPr>
          <w:b/>
        </w:rPr>
        <w:t>E. 1</w:t>
      </w:r>
    </w:p>
    <w:p>
      <w:r>
        <w:t>Der Beschwerdeführer macht geltend, Art. 293 StGB verlange als Voraussetzung für die Strafbarkeit, dass die Unterlagen geheim gewesen seien. Diese Bestimmung spreche nämlich nur von "geheim", nicht auch von "vertraulich". Die beiden Ausdrücke bedeuteten nicht dasselbe, und BGE 77 IV 182 verwende ebenfalls den Begriff "geheim". Wenn sich die Praxis in Auslegung von Art. 293 StGB schon auf den formellen Geheimnisbegriff stütze, was erwiesenermassen zu unbefriedigenden Ergebnissen führe, so dürfe sie nicht zusätzlich noch "Geheimheit und Vertraulichkeit" gleichsetzen. Das aber habe die Vorinstanz getan, indem sie nicht genügend zur Kenntnis genommen habe, dass die vom Beschwerdeführer teilweise veröffentlichten Dokumente zum Teil mit der Aufschrift "vertraulich bis nach Behandlung in der Kommission" versehen gewesen seien. Von "geheim" habe darauf nichts gestanden. Die Vorinstanz habe die beiden Begriffe vermischt, und gleicherweise sei dies auch durch das Büro des Nationalrates in einem Papier vom 8. Januar 1980 geschehen. Das sei aber die Folge der unklaren Formulierung von Art. 22 GRN (SR 171.13), der die Ausdrücke "geheim" und "vertraulich" verwende. Im übrigen habe niemand behauptet, dass die fraglichen Dokumente Amtsgeheimnisse enthalten hätten. Ob die Kommission den Bericht genehmigt habe oder nicht, spiele keine Rolle; der Hinweis "vertraulich bis nach Behandlung in der Kommission" besage lediglich, dass er tel quel nach Behandlung durch die Kommission habe veröffentlicht werden dürfen. Im übrigen zeigten jene Unklarheiten, dass der Beschwerdeführer zu Unrecht mit einer strafrechtlichen Sanktion bedacht worden sei. a) Nach Art. 293 Abs. 1 StGB macht sich der Veröffentlichung amtlicher geheimer Verhandlungen schuldig, wer, ohne dazu berechtigt zu sein, aus Akten, Verhandlungen oder Untersuchungen einer Behörde, die durch Gesetz oder durch Beschluss der Behörde im Rahmen ihrer Befugnis als geheim erklärt worden sind, etwas an die Öffentlichkeit bringt. Wie das Bundesgericht entschieden hat, liegt diesem Tatbestand der formelle Geheimnisbegriff BGE 108 IV 185 S. 188 zugrunde. Es kommt also nicht darauf an, ob die ausgespähte oder offenbarte Tatsache wirklich geheim ist. Entscheidend ist einzig die durch Gesetz oder durch Verfügung der Behörde abgegebene Erklärung, die Akten, Verhandlungen oder Untersuchungen seien geheim (das zur Veröffentlichung bestimmte Urteil i.S. M. K. vom 27.11.1981; ebenso STRATENWERTH, 2. Aufl. II S. 303). Da überdies nicht der Wortlaut der gesetzlichen oder behördlichen Erklärung, sondern deren Sinn massgebend ist ( BGE 77 IV 182 und Urteil i.S. M. K.), macht es auch keinen wesentlichen Unterschied aus, ob in concreto Akten, Verhandlungen oder Untersuchungen als "geheim" oder als "vertraulich" und dgl. bezeichnet werden; es muss nur klar sein, dass damit die Öffentlichkeit hat ausgeschlossen werden wollen. Der in Art. 293 StGB verwendete Begriff "geheim" kennt denn auch keine graduellen Abstufungen im Sinne von "streng geheim", "geheim", "vertraulich" usw., sondern umfasst alle Klassifizierungen, denen zufolge die Kenntnis auf einen durch Gesetz bzw. durch Beschluss der zuständigen Behörde bestimmten Personenkreis beschränkt bleiben soll. Geheim im Sinne von Art. 293 StGB ist somit gleichbedeutend mit gesetzlich oder behördlich erklärtem Ausschluss der Öffentlichkeit (s. die bei STRATENWERTH, a.a.O. zitierten Beispiele). Damit unterscheidet sich dieser Begriff von dem engeren, den Art. 162, 267, 320 und 321 StGB zugrunde liegenden materiellen Geheimnisbegriff, und er lässt - wie sich im folgenden ergeben wird - eine sachlich, zeitlich und personell differenzierte Geheimhaltung zu, die in der Praxis und insbesondere im Parlamentsbetrieb häufig mit dem Ausdruck der Vertraulichkeit bezeichnet wird, ohne aber einen begriffsmässigen Unterschied zum Ausdruck "geheim" im Sinne von Art. 293 StGB zu markieren (s. C. BURKHARD, Die parlamentarischen Kommissionen der schweiz. Bundesversammlung, Diss. Zürich 1952, S. 3 Ziff. II und S. 191, Zirkular des Büros des Nationalrats vom 8.1.1980). b) Hängt nach dem Gesagten das Geheimhaltungsgebot von einer gesetzlichen oder behördlichen Erklärung ab, so kann diese - immer unter Vorbehalt des Amtsgeheimnisses und der militärischen Geheimhaltung - bestimmen, während welcher Dauer und in welchem Umfang Akten, Verhandlungen und Untersuchungen geheimzuhalten sind. Darüber hinaus folgt aus der formellen Natur des Geheimnisbegriffs des Art. 293 StGB , dass durch die genannte Erklärung auch der Kreis derjenigen Personen umschrieben werden kann, die Kenntnis von den fraglichen Akten, BGE 108 IV 185 S. 189 Verhandlungen und Untersuchungen haben dürfen. Dass zu diesem Kreis, soweit behördliche Verhandlungen in Frage stehen, die Sitzungsteilnehmer zählen, versteht sich von selbst. Es können aber in begrenztem Masse auch bestimmte nichtbeteiligte Dritte einbezogen werden. Dadurch verlieren die Verhandlungen nicht ihren geheimen Charakter, sofern diese Dritten ihrerseits zur Geheimhaltung verpflichtet werden (s. BGE 64 II 171 E. 7, wo das sogar für den materiellen Geheimnisbegriff angenommen wurde). c) Bezieht man in das Gesagte die Regelung des Art. 22 GRN ein, so ergibt sich als erstes, dass diese Bestimmung hinsichtlich der Kommissionsverhandlungen, die allein ausdrücklich erwähnt werden, ein sog. Sitzungsgeheimnis anordnet, mit der Bedeutung, dass über solche Verhandlungen die Kommissionsmitglieder und die anderen Sitzungsteilnehmer so lange nicht öffentlich berichten dürfen, bis Presse, Radio und Fernsehen durch das von der Kommission bezeichnete Mitglied orientiert worden sind ( BGE 107 IV 185 ). Auch danach unterliegen sie noch in dem Masse jenem Geheimhaltungsgebot, als sie nicht bekanntmachen dürfen, wie andere Teilnehmer Stellung bezogen haben (Abs. 2). Soll dieser für die Verhandlungen geltende Ausschluss der Öffentlichkeit seinen Zweck erfüllen, so muss es der Kommission aber auch anheimgestellt sein, Unterlagen, die Gegenstand ihrer Verhandlungen bilden und nicht a priori allgemein zugänglich sind (wie z.B. Vorlagen mit der Botschaft des Bundesrates, die schon vor der Behandlung durch parlamentarische Kommissionen gedruckt herausgegeben werden), dem Sitzungsgeheimnis zu unterstellen. Das folgt ohne weiteres aus dem Sinn jener Ordnung und erhellt auch aus dem öffentlichen Interesse an einer möglichst freien und durch keinerlei unzeitige Beeinflussung beeinträchtigten Meinungsbildung in einer parlamentarischen Kommission ( BGE 107 IV 188 E. 2a und Urteil des Kassationshofes zur staatsrechtlichen Beschwerde Zbindens, Nr. P. 1280/82 vom 17.9.1982, E. 1c). d) Der Umstand, dass nach Art. 22 Abs. 3 GRN die Kommissionsmitglieder dem Sitzungsgeheimnis unterstellte Tatsachen den Mitgliedern und Funktionären ihrer Fraktion bekanntgeben dürfen, ändert an dem formell geheimen Charakter solcher Mitteilungen nichts, weil diese Personen in derselben Bestimmung ausdrücklich verpflichtet werden, solche Mitteilungen nicht bekanntzumachen (s. oben lit. b). Zu einem anderen Ergebnis führt auch nicht, dass Art. 22 Abs. 3 GRN nicht von geheimen, sondern von vertraulichen Mitteilungen spricht. Gerade die Tatsache, dass das BGE 108 IV 185 S. 190 Reglement den genannten Personen verbietet, die ihnen gemachten vertraulichen Mitteilungen weiterzugeben, kennzeichnet diese als geheim im Sinne des Art. 293 StGB , wird doch dadurch klar der Wille kundgemacht, die Öffentlichkeit auszuschliessen (s. oben E. 1a). Zudem können sich diese Mitteilungen nach dem Zusammenhang, in welchem sie in Art. 22 Abs. 3 GRN erwähnt werden, ihrem Gehalt nach ja nur auf die Kommissionsverhandlungen, die - wie dargetan - grundsätzlich geheim sind, oder auf Verhandlungsunterlagen beziehen, für welche die Kommission den Ausschluss der Öffentlichkeit durch einen entsprechenden Vermerk angeordnet hat. e) Nach dem Gesagten ist nicht ersichtlich, inwiefern bei diesen sich ohne weiteres aus dem genannten Reglement ergebenden Schlüssen Art. 22 GRN der gebotenen Klarheit ermangeln sollte. Soweit die Beschwerde das behauptet, erweist sie sich als unbegründet.</w:t>
      </w:r>
    </w:p>
    <w:p>
      <w:r>
        <w:rPr>
          <w:b/>
        </w:rPr>
        <w:t>E. 2</w:t>
      </w:r>
    </w:p>
    <w:p>
      <w:r>
        <w:t>Im vorliegenden Fall ist verbindlich festgestellt, dass der von Nationalrat Nef dem Beschwerdeführer am 2. Juni 1980 ausgehändigte Bericht der Sektion EMD, der anderntags Gegenstand der Beratungen der GPK des Nationalrats bilden sollte, den Hinweis "vertraulich bis nach Behandlung in der Kommission" trug. Darin lag eine Erklärung der zuständigen Instanz, dass das genannte Papier jedenfalls bis nach der Beratung durch die Kommission im Sinne von Art. 293 Abs. 1 StGB geheim zu bleiben hatte. Diese Erklärung hatte selbstverständlich auch Gültigkeit für die beigelegten Antworten des EMD auf die von der GPK gestellten Fragen, bildeten jene doch integrierenden Bestandteil des sich auf sie stützenden Berichts. Indem Zbinden in der Ausgabe der Zeitung "Blick" vom 3. Juni 1980 Bericht und Antwortbogen auszugsweise veröffentlichte, brachte er, ohne dazu berechtigt gewesen zu sein, etwas an die Öffentlichkeit, was dieser nach Massgabe von Art. 22 GRN nicht oder noch nicht hätte zugänglich gemacht werden dürfen und damit im Sinne von Art. 293 Abs. 1 StGB hätte geheim bleiben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