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83</w:t>
      </w:r>
    </w:p>
    <w:p>
      <w:r>
        <w:t>Bundesgericht (BGE), 1982-01-01, FR</w:t>
      </w:r>
    </w:p>
    <w:p>
      <w:r>
        <w:rPr>
          <w:b/>
        </w:rPr>
        <w:t xml:space="preserve">Quelle: </w:t>
      </w:r>
      <w:r>
        <w:t>https://mcp.opencaselaw.ch/entscheid/bge_BGE_108_II_83</w:t>
      </w:r>
    </w:p>
    <w:p>
      <w:r>
        <w:t>FR: ATF 108 II 83</w:t>
      </w:r>
    </w:p>
    <w:p>
      <w:r>
        <w:t>IT: DTF 108 II 83</w:t>
      </w:r>
    </w:p>
    <w:p>
      <w:pPr>
        <w:pStyle w:val="Heading2"/>
      </w:pPr>
      <w:r>
        <w:t>Regeste</w:t>
      </w:r>
    </w:p>
    <w:p>
      <w:r>
        <w:t>Regeste Art. 157, 286 Abs. 2 ZGB. Herabsetzung des Unterhaltsbeitrages des geschiedenen Elternteils, der nicht Inhaber der elterlichen Gewalt ist. Die Verbesserung der wirtschaftlichen Verhältnisse des Inhabers der elterlichen Gewalt ist an sich noch kein Grund zur Herabsetzung des vom andern Elternteil zu leistenden Unterhaltsbeitrages: Eine solche Veränderung der Verhältnisse muss - in Form von besseren Lebensbedingungen - in erster Linie den Kindern zugute kommen.</w:t>
      </w:r>
    </w:p>
    <w:p>
      <w:r>
        <w:t>Regeste Art. 157, 286 al. 2 CC. Réduction de la contribution d'entretien du parent divorcé auquel n'a pas été confiée l'autorité parentale. L'amélioration des ressources du détenteur de l'autorité parentale ne suffit pas pour justifier la réduction de la contribution due par l'autre parent: ce sont les enfants qui doivent profiter au premier chef de ce changement de situation, par des conditions de vie plus favorables.</w:t>
      </w:r>
    </w:p>
    <w:p>
      <w:r>
        <w:t>Regesto Art. 157, 286 cpv. 2 CC. Riduzione del contributo per il mantenimento a carico del genitore divorziato a cui non è stata attribuita l'autorità parentale. Il miglioramento della situazione economica del titolare dell'autorità parentale non basta a giustificare la riduzione del contributo dovuto dall'altro genitore: di tale modifica delle circostanze devono beneficiare, in primo luogo, in forma di condizioni di vita più favorevoli, i figli.</w:t>
      </w:r>
    </w:p>
    <w:p>
      <w:pPr>
        <w:pStyle w:val="Heading2"/>
      </w:pPr>
      <w:r>
        <w:t>Erwägungen</w:t>
      </w:r>
    </w:p>
    <w:p>
      <w:r>
        <w:rPr>
          <w:b/>
        </w:rPr>
        <w:t>E. 2</w:t>
      </w:r>
    </w:p>
    <w:p>
      <w:r>
        <w:t>c) Le recourant reproche à l'autorité cantonale de n'avoir pas pris en considération, pour réduire les contributions, l'amélioration des ressources de l'intimée: il y a là, selon lui, violation de l'art. 286 al. 2 CC. Certes, les revenus de l'intimée sont très supérieurs à ceux du recourant et ont augmenté depuis le divorce, tandis que les ressources du père diminuaient. Mais ce n'est pas là, en soi, un facteur de réduction des contributions. Quand la situation du détenteur de l'autorité parentale s'améliore, ce sont les enfants qui doivent en profiter au premier chef, par des conditions de vie plus favorables, notamment par l'acquisition d'une meilleure formation (BÜHLER/SPÜHLER, n. 153 ad art. 157 CC). Ce principe s'impose toujours lorsque, comme en l'espèce, l'amélioration de la situation du détenteur de l'autorité parentale est due aux efforts qu'il fait en travaillant davantage. Il serait choquant que le fruit de son BGE 108 II 83 S. 85 activité profite, non pas à lui-même et à ses enfants, mais à son ex-conjoint, par le biais de l'allégement de la dette d'aliments. En l'espèce, grâce aux efforts de leur mère, les enfants peuvent fréquenter une école privée. Cette solution permet en outre à l'intimée de se consacrer davantage à son travail et, ainsi, d'obtenir un gain plus élevé par des déplacements à l'étranger, au cours desquels la garde des enfants est assurée par l'école. Les gains importants de dame B. et le placement des enfants dans une école privée sont donc indissolublement liés. On admet, il est vrai, que l'amélioration de la situation du détenteur de l'autorité parentale peut justifier la diminution de la contribution d'entretien de l'autre parent si, en raison de sa condition modeste, le paiement de la pension est pour lui une charge particulièrement lourde (cf. BÜHLER/SPÜHLER, n. 153 ad art. 157 CC). Mais tel n'est pas le cas en l'occurrence. Après paiement des pensions fixées par l'autorité cantonale, le recourant dispose, déduction faite de la retenue de salaire pour le remboursement de l'emprunt et de la pension due à sa troisième épouse, d'un montant supérieur de plus de 300 fr. au minimum d'existence pour une personne seule vivant à part. C'est à bon droit que l'autorité cantonale l'invite, pour satisfaire à ses obligations, à renoncer aux dépenses de frais d'essence et d'entretien de l'automobile de son amie.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