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497</w:t>
      </w:r>
    </w:p>
    <w:p>
      <w:r>
        <w:t>Bundesgericht (BGE), 1982-01-01, DE</w:t>
      </w:r>
    </w:p>
    <w:p>
      <w:r>
        <w:rPr>
          <w:b/>
        </w:rPr>
        <w:t xml:space="preserve">Quelle: </w:t>
      </w:r>
      <w:r>
        <w:t>https://mcp.opencaselaw.ch/entscheid/bge_BGE_108_II_497</w:t>
      </w:r>
    </w:p>
    <w:p>
      <w:r>
        <w:t>FR: ATF 108 II 497</w:t>
      </w:r>
    </w:p>
    <w:p>
      <w:r>
        <w:t>IT: DTF 108 II 497</w:t>
      </w:r>
    </w:p>
    <w:p>
      <w:pPr>
        <w:pStyle w:val="Heading2"/>
      </w:pPr>
      <w:r>
        <w:t>Regeste</w:t>
      </w:r>
    </w:p>
    <w:p>
      <w:r>
        <w:t>Regeste Stiftungsaufsicht; Konkurrenz zwischen zivilrechtlicher Klage und Anrufung der Aufsichtsbehörde. Verweigert eine Personalfürsorgestiftung austretenden Destinatären die Auszahlung der geltend gemachten Abgangsansprüche, können die Betroffenen zivilrechtliche Klage erheben oder, falls die Ansprüche offensichtlich ausgewiesen sind, bei der zuständigen Aufsichtsbehörde die Erteilung entsprechender Weisungen an die Stiftung verlangen. Sind jedoch die geltend gemachten Ansprüche nicht offensichtlich ausgewiesen, ist nur der Weg der gerichtlichen Klage offen.</w:t>
      </w:r>
    </w:p>
    <w:p>
      <w:r>
        <w:t>Regeste Surveillance des fondations; concours entre l'action de droit privé et l'appel à l'autorité de surveillance. Lorsqu'une fondation en faveur du personnel refuse de payer aux bénéficiaires sortants les prestations de départ qu'ils réclament, ceux-ci peuvent agir contre elle par la voie d'une action civile ou, pour le cas où leurs prétentions s'avèrent manifestement bien fondées, demander à l'autorité de surveillance compétente qu'elle donne à la fondation les instructions nécessaires. Cependant, lorsque les prétentions invoquées ne sont pas manifestement bien fondées, seule est alors ouverte aux intéressés la voie de l'action judiciaire.</w:t>
      </w:r>
    </w:p>
    <w:p>
      <w:r>
        <w:t>Regesto Vigilanza sulle fondazioni; concorso tra l'azione di diritto privato e la richiesta all'autorità di vigilanza. Ove una fondazione di previdenza a favore del personale rifiuti di pagare ai beneficiari le prestazioni da essi reclamate per il caso di uscita dalla fondazione, i beneficiari possono promuovere azione civile contro quest'ultima oppure, se le loro pretese sono manifestamente fondate, chiedere all'autorità di vigilanza competente che dia alla fondazione le istruzioni necessarie. Qualora le pretese fatte valere non siano tuttavia manifestamente fondate, è esperibile solo l'azione giudiziaria.</w:t>
      </w:r>
    </w:p>
    <w:p>
      <w:pPr>
        <w:pStyle w:val="Heading2"/>
      </w:pPr>
      <w:r>
        <w:t>Erwägungen</w:t>
      </w:r>
    </w:p>
    <w:p>
      <w:r>
        <w:rPr>
          <w:b/>
        </w:rPr>
        <w:t>E. 4</w:t>
      </w:r>
    </w:p>
    <w:p>
      <w:r>
        <w:t>Ihre Ansprüche gegenüber der Gemeinschaftsstiftung können die Destinatäre als frühere Begünstigte gemäss Art. 89bis Abs. 5 ZGB klageweise geltend machen. Das Bundesamt für Sozialversicherung und das EDI haben denn auch ausdrücklich auf diesen Weg hingewiesen. Zu prüfen ist indessen, ob die Destinatäre neben dem Zivilrichter auch die Aufsichtsbehörde anrufen können, um ihre Ansprüche durchzusetzen. Letztlich geht es dabei darum zu entscheiden, ob das EDI die Gemeinschaftsstiftung zur Bezahlung der geltend gemachten Forderung anzuhalten befugt sei.</w:t>
      </w:r>
    </w:p>
    <w:p>
      <w:r>
        <w:rPr>
          <w:b/>
        </w:rPr>
        <w:t>E. 5</w:t>
      </w:r>
    </w:p>
    <w:p>
      <w:r>
        <w:t>Die Kompetenzen der Aufsichtsbehörden ergeben sich aus Art. 84 Abs. 2 ZGB . Danach hat die Aufsichtsbehörde dafür zu sorgen, dass das Stiftungsvermögen seinen Zwecken gemäss verwendet wird. Sie hat darüber zu wachen, dass die Organe der Stiftung keine Verfügungen treffen, die der Stiftungsurkunde oder dem Reglement bzw. dem Gesetz widersprechen oder unsittlich sind (vgl. BGE 106 II 269 E. 3c; BGE 105 II 73 E. 3b). In diesem Rahmen ist die Aufsichtsbehörde befugt, den Stiftungsorganen bindende Weisungen zu erteilen und bei deren Nichtbeachtung Sanktionen zu ergreifen ( BGE 101 Ib 235 f. E. 2 mit Hinweisen). BGE 108 II 497 S. 500 Es ist indessen darauf hinzuweisen, dass die Stiftungsaufsicht nicht etwa einer Vormundschaft gleichkommt. Die Stiftung ist grundsätzlich voll handlungsfähig. Die Aufsichtsbehörde darf deshalb nicht einfach an Stelle des Stiftungsrates handeln. In reinen Ermessensfragen hat sie sich zurückzuhalten ( BGE 100 Ib 135 E. 3). Die Aufsichtsbehörde darf nur einschreiten, wenn die Stiftungsorgane das ihnen zustehende Ermessen überschritten oder missbraucht haben, mit andern Worten wenn einer ihrer Entscheide unhaltbar ist, d.h. auf sachfremden Kriterien beruht oder einschlägige Kriterien ausser acht lässt. Greift die Aufsichtsbehörde ohne gesetzliche Grundlage in den Autonomiebereich der Stiftungsorgane ein, so verletzt sie Bundesrecht ( BGE 101 Ib 236 oben).</w:t>
      </w:r>
    </w:p>
    <w:p>
      <w:r>
        <w:rPr>
          <w:b/>
        </w:rPr>
        <w:t>E. 6</w:t>
      </w:r>
    </w:p>
    <w:p>
      <w:r>
        <w:t>Der Gemeinschaftsstiftung droht eine Forderungsklage der beschwerdeführenden Destinatäre. Für einen solchen Fall ist aus dem Gesagten abzuleiten, dass die Aufsichtsbehörde die Stiftung nur dann zur Anerkennung und Bezahlung ohne richterlichen Entscheid anhalten darf, wenn der geltend gemachte Anspruch ohne weiteres ausgewiesen ist. Lehnt nämlich die Stiftung unter solchen Umständen die Zahlung ab und lässt sie es auf eine gerichtliche Auseinandersetzung ankommen, setzt sie sich der Gefahr aus, Verfahrenskosten und Prozessentschädigung entrichten zu müssen. Die Tragung der Kosten und Entschädigungsfolgen eines verlorenen Zivilprozesses stellt aber keine zweckgemässe Verwendung des Stiftungsvermögens dar. Bestehen dagegen an der Berechtigung der von Destinatären geltend gemachten Ansprüche ernsthafte Zweifel, so muss der Entscheid dem Zivilrichter überlassen bleiben (vgl. RIEMER, N. 141 und 142 zu Art. 84 ZGB ). Die Stiftung in einem solchen Fall anzuweisen, die Forderung anzuerkennen, ginge nicht an, würden doch dadurch unter Umständen die Ansprüche der übrigen Destinatäre gefährdet. Auf Grund des Gesagten ist festzuhalten, dass entgegen der Ansicht der Gemeinschaftsstiftung nicht in jedem Fall, da zivilrechtliche Klage erhoben werden kann, die Anrufung der Aufsichtsbehörde ausgeschlossen ist. Bei klaren Verhältnissen im oben erwähnten Sinn kann durchaus eine konkurrierende Zuständigkeit von Richter und Aufsichtsbehörde gegeben sein (vgl. RIEMER, N. 141 zu Art. 84 ZGB ; WALSER, Die Personalvorsorgestiftung, Diss. Zürich 1974, S. 49 ff.). Allerdings bleibt der richterliche Entscheid über einen strittigen Anspruch eines Destinatärs in jedem Falle vorbehalten (vgl. BGE 100 Ib 146 f.; WALSER, a.a.O., S. 50). BGE 108 II 497 S. 501</w:t>
      </w:r>
    </w:p>
    <w:p>
      <w:r>
        <w:rPr>
          <w:b/>
        </w:rPr>
        <w:t>E. 7</w:t>
      </w:r>
    </w:p>
    <w:p>
      <w:r>
        <w:t>Von den Destinatären wird nicht bestritten, dass am 31. Dezember 1976, als sie aus der AHV-Zusatzversicherung austraten, um in die Personalfürsorgestiftung der Malerei Buess AG einzutreten, d.h. als die strittigen Ansprüche entstanden, die Art. 331a-331c des revidierten OR für die Gemeinschaftsstiftung noch nicht in Kraft getreten waren. Die Gemeinschaftsstiftung unterstand damals noch dem früheren Art. 343bis OR . Diese Bestimmung sah in Abs. 3 vor, dass dem Dienstpflichtigen, der selbst auch Beiträge entrichtet hat, bei der Auflösung des Dienstverhältnisses mindestens die Summe der von ihm geleisteten Beiträge herauszugeben sei. Eine entsprechende Regelung fand sich denn auch in Art. 21 des Reglements von 1969 über die AHV-Zusatzversicherung des SMGV. Darauf beruhte die geleistete Barabfindung von insgesamt Fr. 25'950.--. Die Destinatäre, die mehr beanspruchen als nur die persönlich erbrachten Beiträge, sind der Ansicht, dass die erwähnten Bestimmungen des früheren OR und des Reglementes von 1969 auf ihren Fall nicht direkt zur Anwendung gelangen können, da der Grund ihres Austritts nicht die Auflösung des Arbeitsverhältnisses gewesen sei, sondern der Wechsel zur Personalfürsorgestiftung der Malerei Buess AG. Da dieser Sachverhalt im Gesetz nicht geregelt gewesen sei, müsse das Bestehen einer echten Lücke angenommen werden, die im Sinne von Art. 1 Abs. 2 ZGB unter Berücksichtigung der allgemeinen Zielvorstellungen des Personalfürsorgestiftungsrechtes auszufüllen sei. Die Destinatäre verweisen sodann auf die Stellungnahme des Amtes für Stiftungsaufsicht des Kantons Basel-Landschaft, dem die Personalfürsorgestiftung der Malerei Buess AG untersteht. Dieses Amt hat die Ansicht geäussert, es müsse von Gesetzes wegen das gesamte Vorsorgekapital ausbezahlt werden, das für die Destinatäre bei der AHV-Zusatzversicherung des SMGV bereit gestellt worden sei. Diese Lösung trägt jedoch allein dem Interesse der Destinatäre Rechnung, durch den Wechsel der Vorsorgeeinrichtung keine Schmälerung ihrer Ansprüche zu erleiden. Bei der Beurteilung der Ansprüche der Destinatäre muss indessen auch die Stellung der Gemeinschaftsstiftung denjenigen gegenüber berücksichtigt werden, die bei ihr weiterhin versichert bleiben. Weiter darf nicht ausser acht gelassen werden, dass die Gemeinschaftsstiftung dadurch bereits eine gewisse Leistung erbracht hat, dass sie den beschwerdeführenden Destinatären bis zu ihrem Austritt Versicherungsschutz gewährt hatte. BGE 108 II 497 S. 502 Aus dem Gesagten erhellt, dass die von den Destinatären geltend gemachten Ansprüche nicht als offensichtlich ausgewiesen erscheinen und dass sich die Gemeinschaftsstiftung nicht einem für sie von vornherein verlorenen Prozess aussetzt, wenn sie die Ansprüche nicht von sich aus anerkennt. Das EDI hat deshalb mit Recht davon abgesehen, eine entsprechende Weisung zu 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