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319</w:t>
      </w:r>
    </w:p>
    <w:p>
      <w:r>
        <w:t>Bundesgericht (BGE), 1981-10-26, DE</w:t>
      </w:r>
    </w:p>
    <w:p>
      <w:r>
        <w:rPr>
          <w:b/>
        </w:rPr>
        <w:t xml:space="preserve">Quelle: </w:t>
      </w:r>
      <w:r>
        <w:t>https://mcp.opencaselaw.ch/entscheid/bge_BGE_108_II_319</w:t>
      </w:r>
    </w:p>
    <w:p>
      <w:r>
        <w:t>FR: ATF 108 II 319</w:t>
      </w:r>
    </w:p>
    <w:p>
      <w:r>
        <w:t>IT: DTF 108 II 319</w:t>
      </w:r>
    </w:p>
    <w:p>
      <w:pPr>
        <w:pStyle w:val="Heading2"/>
      </w:pPr>
      <w:r>
        <w:t>Regeste</w:t>
      </w:r>
    </w:p>
    <w:p>
      <w:r>
        <w:t>Regeste Wechselrecht. Ein auf den Inhaber ausgestellter Wechsel ist nichtig.</w:t>
      </w:r>
    </w:p>
    <w:p>
      <w:r>
        <w:t>Regeste Droit de change. Un effet de change émis au porteur est nul.</w:t>
      </w:r>
    </w:p>
    <w:p>
      <w:r>
        <w:t>Regesto Diritto cambiario. Un effetto cambiario emesso al portatore è nullo.</w:t>
      </w:r>
    </w:p>
    <w:p>
      <w:pPr>
        <w:pStyle w:val="Heading2"/>
      </w:pPr>
      <w:r>
        <w:t>Erwägungen</w:t>
      </w:r>
    </w:p>
    <w:p>
      <w:r>
        <w:rPr>
          <w:b/>
        </w:rPr>
        <w:t>E. 3</w:t>
      </w:r>
    </w:p>
    <w:p>
      <w:r>
        <w:t>Das Obergericht ging davon aus, dass der Wechsel grundsätzlich ein geborenes Orderpapier sei, das nicht auf den Inhaber ausgestellt werden könne. Es kam jedoch zum Schluss, dieses Verbot des Inhaberwechsels sei nicht einsichtig, nachdem der gleiche Erfolg dadurch erzielt werden könne, dass der Aussteller sich selbst als ersten Wechselnehmer einsetze und den Wechsel mit einem Blankoindossament oder mit einem Indossament an den Inhaber versehe. Die Vollständigkeit der Urkunde sei nur für die Geltendmachung der Forderung, nicht jedoch für deren Entstehung notwendig. Das Prinzip des Handelns nach Treu und Glauben sowie die Verkehrssicherheit verlangten, dass eine auf den Inhaber als Remittenten ausgestellte Wechselurkunde als vollgültiger Blankowechsel zu behandeln sei, sofern zur Zeit der Geltendmachung der Forderung der Remittent namentlich auf der BGE 108 II 319 S. 320 Urkunde vermerkt sei. Die Streichung des Wortes "Inhaber" und dessen Ersetzung durch den Namen des Remittenten könnten nicht als Verfälschung bezeichnet werden.</w:t>
      </w:r>
    </w:p>
    <w:p>
      <w:r>
        <w:rPr>
          <w:b/>
        </w:rPr>
        <w:t>E. 4</w:t>
      </w:r>
    </w:p>
    <w:p>
      <w:r>
        <w:t>Diese Argumentation wird in der Beschwerde zu Recht als unhaltbar beanstandet. Gemäss Art. 991 Ziff. 6 und 1096 Ziff. 5 OR haben der gezogene Wechsel bzw. der Eigenwechsel den Namen dessen zu enthalten, an den oder an dessen Order gezahlt werden soll. Diese Bestimmungen schliessen den Inhaberwechsel aus. Die Lehre unterstreicht einmütig das Verbot des Inhaberwechsels, mag sie auch dessen Zweckmässigkeit bezweifeln (GUHL/MERZ/KUMMER, Das schweizerische Obligationenrecht, 7. Aufl., S. 833; BAUMBACH/HEFERMEHL, Wechselgesetz und Scheckgesetz, 13. Aufl., N. 11 zu Art. 1; STAUB/STRANZ, Kommentar zum Wechselgesetz, 13. Aufl., N. 48 zu Art. 1; STRANZ, Wechselgesetz, 14. Aufl., N. 17 zu Art. 1; KAPFER, Wechselgesetz und Scheckgesetz, 8. Aufl., N. 9 zu Art. 1; ARMINJON/CARRY, La lettre de change et le billet à ordre, S. 224/225 N. 201; PERCEROU ET BOUTERON, La lettre de change, S. 12 N. 9; MOSSA, Trattato della cambiale, 3. Aufl., S. 291; DE SEMO, Trattato di diritto cambiario, 3. Aufl., S. 296 N. 328). Der Hinweis des Obergerichts auf die Möglichkeit, den gleichen Erfolg mit einem Blankowechsel zu erreichen, ändert nichts. Ein Blankowechsel ist seiner Natur nach unvollständig ( Art. 1000 OR ); er kann nachträglich ausgefüllt werden. Der Inhaberwechsel ist dagegen von Anfang an vollständig ausgefüllt und als solcher, ebenfalls von Anfang an, formnichtig. Diese Formnichtigkeit ist im vorliegenden Fall umso mehr zu beachten, als es den Anschein hat, dass die Änderung des ausgefüllten Wechsels nach der Unterzeichnung durch die Beschwerdeführerin als Ausstellerin, Bezogene und Akzeptantin vom Beschwerdegegner vorgenommen oder veranlasst worden ist. Das Wechselrecht ist - gerade im Interesse der Verkehrssicherheit und im Hinblick auf die wechselmässige Haftung - durch Formstrenge gekennzeichnet. Die Gültigkeit bzw. Ungültigkeit des Wechsels muss sich aus der Urkunde selbst 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