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199</w:t>
      </w:r>
    </w:p>
    <w:p>
      <w:r>
        <w:t>Bundesgericht (BGE), 1982-01-01, FR</w:t>
      </w:r>
    </w:p>
    <w:p>
      <w:r>
        <w:rPr>
          <w:b/>
        </w:rPr>
        <w:t xml:space="preserve">Quelle: </w:t>
      </w:r>
      <w:r>
        <w:t>https://mcp.opencaselaw.ch/entscheid/bge_BGE_108_II_199</w:t>
      </w:r>
    </w:p>
    <w:p>
      <w:r>
        <w:t>FR: ATF 108 II 199</w:t>
      </w:r>
    </w:p>
    <w:p>
      <w:r>
        <w:t>IT: DTF 108 II 199</w:t>
      </w:r>
    </w:p>
    <w:p>
      <w:pPr>
        <w:pStyle w:val="Heading2"/>
      </w:pPr>
      <w:r>
        <w:t>Regeste</w:t>
      </w:r>
    </w:p>
    <w:p>
      <w:r>
        <w:t>Regeste Art. 510 Abs. 3, 4 und 5 OR; Bürgschaft. 1. Begriff der "erheblichen Unterbrechung" gemäss Art. 510 Abs. 3 OR (E. 3). 2. Zulässigkeit einer Vertragsbestimmung, wonach die Bürgschaft für Forderungen, die bei Ablauf der Vertragsdauer nicht fällig sind, nur dann weitergelten soll, wenn der Gläubiger dies dem Bürgen innert bestimmter Frist mitteilt (E. 4).</w:t>
      </w:r>
    </w:p>
    <w:p>
      <w:r>
        <w:t>Regeste Art. 510 al. 3, 4 et 5 CO; cautionnement. 1. Notion d'"interruption notable" au sens de l'art. 510 al. 3 CO (consid. 3). 2. Licéité de la clause du contrat de cautionnement subordonnant le maintien de ce dernier, pour les créances non exigibles à la date d'expiration du contrat, à une annonce faite par le créancier à la caution dans un délai déterminé (consid. 4).</w:t>
      </w:r>
    </w:p>
    <w:p>
      <w:r>
        <w:t>Regesto Art. 510 cpv. 3, 4, 5 CO; fideiussione. 1. Nozione di "rilevante interruzione" ai sensi dell'art. 510 cpv. 3 CO (consid. 3). 2. Liceità della clausola del contratto di fideiussione che subordina la continuazione della garanzia per i crediti non esigibili alla scadenza del contratto ad una notificazione che il creditore deve fare al fideiussore entro un determinato termine (consid. 4).</w:t>
      </w:r>
    </w:p>
    <w:p>
      <w:pPr>
        <w:pStyle w:val="Heading2"/>
      </w:pPr>
      <w:r>
        <w:t>Erwägungen</w:t>
      </w:r>
    </w:p>
    <w:p>
      <w:r>
        <w:rPr>
          <w:b/>
        </w:rPr>
        <w:t>E. 3</w:t>
      </w:r>
    </w:p>
    <w:p>
      <w:r>
        <w:t>a) Selon l' art. 510 al. 3 CO , la caution qui ne s'est engagée que pour un temps déterminé est libérée, si le créancier ne poursuit pas juridiquement l'exécution de ses droits dans les quatre semaines qui suivent l'expiration de ce temps et s'il ne continue pas ses poursuites sans interruption notable. Pour les motifs exposés ci-dessous, il suffit d'examiner en l'occurrence si, pour les créances échues à l'expiration du cautionnement, le créancier a continué ses poursuites sans interruption notable, au sens de cette disposition. Dans l'arrêt ATF 64 II 191 ss, relatif à l'application de la disposition équivalente de l'art. 503 aCO, le Tribunal fédéral a considéré que la loi ne fournit aucune règle schématique concernant ce qu'il faut entendre par "interruption notable", mais, en tant qu'elle fixe à quatre semaines le délai pour agir ou poursuivre, elle donne néanmoins une indication concernant la période après l'expiration de laquelle on peut raisonnablement exiger du créancier qu'il se montre actif pour faire avancer la procédure; les circonstances particulières du cas peuvent toutefois rendre admissible une inaction plus longue; en outre, la caution peut elle-même consentir à des prolongations de la procédure. Cette jurisprudence, approuvée dans l'ensemble par la doctrine (GIOVANOLI, n. 12 et 13 ad art. 510; BECK, n. 43 ss ad art. 510; GUHL/MERZ/KUMMER, p. 545/546; HEMMELER, Die Gründe für den Untergang der Bürgschaft, thèse Berne 1954, p. 52; SCYBOZ, Le contrat de garantie et le cautionnement, dans Traité de droit privé suisse, VII 2, p. 115 n. 7; cf., avec certaines réserves, OSER/SCHÖNENBERGER, n. 21 ad art. 510), doit être confirmée. Il en BGE 108 II 199 S. 202 résulte que le créancier est tenu, à l'égard de la caution, à une diligence particulière, et que celle-ci ne saurait se mesurer uniquement selon le critère d'un créancier diligent défendant seulement ses propres intérêts. La surcharge de certains tribunaux, invoquée par la recourante, ne justifie pas en soi une modification de cette jurisprudence, mais elle peut être prise en considération dans l'examen des circonstances du cas d'espèce s'il est prouvé qu'une inaction prolongée n'a pas pu être évitée, en raison de cette surcharge. b) Pour les acomptes en remboursement du prêt, d'un montant de 5'616 fr. 80, échus jusqu'au 31 octobre 1972, la cour cantonale constate en particulier que le créancier a été totalement inactif et que les actions en libération de dette les concernant n'ont connu aucun acte de procédure depuis le 20 juin 1974 - date du dernier mémoire-réponse de Cofid - jusqu'au 6 novembre 1974. aa) La recourante ne conteste pas ces constatations de fait. Or, il est patent que cette durée excède ce qu'au regard de l' art. 510 al. 3 CO un créancier diligent doit tolérer, même si l'on tient compte des vacances d'été et du fait qu'après le dépôt de la dernière réponse il appartenait au juge d'agir. Ne recevant de ce dernier aucun acte, après trois ou quatre semaines, le créancier pouvait s'adresser à lui pour le prier d'activer la procédure. bb) En revanche, la recourante prétend que, créancière, elle n'aurait pas été inactive à l'encontre de la débitrice Indica. Elle invoque "la demande de faillite d'Indica (...) sur la base de l' art. 725 CO " ainsi que "l'action en annulation de la décision de dissolution de la société", toutes deux en suspens ainsi qu'une déclaration d'insolvabilité selon l' art. 743 al. 2 CO . La cour cantonale relève, à juste titre, que de telles procédures ne sont point exercées à l'instance du créancier (la première concerne une déclaration d'insolvabilité du débiteur au juge - art. 192 LP , 725 et 743 CO -, la seconde, une action interne à la société, appartenant à un actionnaire contre la société - art. 706 CO ) et qu'elles ne dispensent pas le créancier diligent du soin de poursuivre le débiteur sans relâche important, s'il désire pouvoir se retourner contre la caution. cc) La recourante invoque encore les poursuites engagées par elle du 26 octobre 1973 au 6 novembre 1974 en recouvrement des acomptes échus sur le prêt. Il est patent que de telles poursuites ne concernaient que les créances qui en faisaient l'objet et ne pouvaient être considérées BGE 108 II 199 S. 203 comme la poursuite diligente par le créancier, du débiteur, pour ses autres créances. Il faut donc admettre, avec la cour cantonale, la péremption du cautionnement pour cette (ces) créance(s).</w:t>
      </w:r>
    </w:p>
    <w:p>
      <w:r>
        <w:rPr>
          <w:b/>
        </w:rPr>
        <w:t>E. 4</w:t>
      </w:r>
    </w:p>
    <w:p>
      <w:r>
        <w:t>Conformément au jugement cantonal, les créances non exigibles le 31 octobre 1972 s'élevaient à 7'221 fr. 60. Selon l' art. 510 al. 4 et 5 CO , en cas de cautionnement conclu pour un temps déterminé, lorsque la dette n'est pas exigible à l'expiration de ce délai, la caution qui ne se libère pas en fournissant des sûretés réelles, demeure liée comme si cet engagement avait été convenu jusqu'à l'exigibilité de la dette. En l'occurrence, le contrat de cautionnement conclu entre parties contient à ce sujet une disposition particulière. En effet, pour les créances non exigibles le 31 octobre 1972, date d'expiration, le contrat de cautionnement subordonne le maintien du cautionnement, au-delà de cette date, à une annonce faite par le créancier à la caution, dans un délai de quatre semaines dès le 31 octobre 1972, sous forme de lettre recommandée indiquant la créance et son échéance. a) A tort, la recourante met en doute la légalité d'une telle clause. Celle-ci relève de l'autonomie de la volonté ( art. 19 CO ) qui, sur ce point, n'est restreinte par aucune disposition légale, dès lors que la clause limite l'engagement de la caution, dans l'intérêt de celle-ci ( art. 492 al. 4 CO a contrario; cf. GIOVANOLI, n. 85 ad art. 492; SCYBOZ, op.cit., p. 41). b) La recourante prétend aussi à tort que la clause ne serait pas claire et devrait être interprétée contre son rédacteur. Elle joue sur les mots en soutenant que, dans l'expression "la caution s'éteint" figurant dans le contrat, le mot "caution" désignerait la personne du débiteur de l'obligation issue du contrat de cautionnement et non point cette obligation; cette interprétation méconnaît non seulement le sens clair de la phrase, mais aussi l'acception du mot caution en français, qui désigne soit une garantie, une assurance, un engagement, soit la personne qui s'engage par cautionnement (cf., par exemple, P. ROBERT, Dictionnaire de la langue française, vo caution). Il faut dès lors admettre avec la cour cantonale, que l'absence d'annonce a eu pour effet d'éteindre le cautionnement en tant que son objet était de garantir des créances non échues le 31 octobre 1972.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