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188</w:t>
      </w:r>
    </w:p>
    <w:p>
      <w:r>
        <w:t>Bundesgericht (BGE), 1982-01-01, DE</w:t>
      </w:r>
    </w:p>
    <w:p>
      <w:r>
        <w:rPr>
          <w:b/>
        </w:rPr>
        <w:t xml:space="preserve">Quelle: </w:t>
      </w:r>
      <w:r>
        <w:t>https://mcp.opencaselaw.ch/entscheid/bge_BGE_108_II_188</w:t>
      </w:r>
    </w:p>
    <w:p>
      <w:r>
        <w:t>FR: ATF 108 II 188</w:t>
      </w:r>
    </w:p>
    <w:p>
      <w:r>
        <w:t>IT: DTF 108 II 188</w:t>
      </w:r>
    </w:p>
    <w:p>
      <w:pPr>
        <w:pStyle w:val="Heading2"/>
      </w:pPr>
      <w:r>
        <w:t>Regeste</w:t>
      </w:r>
    </w:p>
    <w:p>
      <w:r>
        <w:t>Regeste Subrogation (Art. 110 Ziff. 1 OR). Wird eine Schuld durch ein Drittpfand gesichert und bleiben die Rechtsbeziehungen zwischen Schuldner und Verpfänder unklar, so steht dem Pfandbesteller bei Verwertung des Pfandes durch den Gläubiger - analog Art. 110 Ziff. 1 OR - ein Anspruch aus Subrogation zu.</w:t>
      </w:r>
    </w:p>
    <w:p>
      <w:r>
        <w:t>Regeste Subrogation (art. 110 ch. 1 CO). Lorsqu'une dette est garantie par un gage appartenant à un tiers et que les rapports juridiques entre ce tiers et le débiteur ne sont pas clairement définis, le constituant du gage est subrogé aux droits du créancier si celui-ci réalise le gage (art. 110 ch. 1 CO applicable par analogie).</w:t>
      </w:r>
    </w:p>
    <w:p>
      <w:r>
        <w:t>Regesto Surrogazione (art. 110 n. 1 CO). Ove un debito sia garantito da un pegno appartenente a un terzo ed i rapporti giuridici fra tale terzo e il debitore non siano chiari, colui che ha costituito il pegno è surrogato nei diritti del creditore se questi fa realizzare il pegno (applicazione analogica dell'art. 110 n. 1 CO).</w:t>
      </w:r>
    </w:p>
    <w:p>
      <w:pPr>
        <w:pStyle w:val="Heading2"/>
      </w:pPr>
      <w:r>
        <w:t>Erwägungen</w:t>
      </w:r>
    </w:p>
    <w:p>
      <w:r>
        <w:rPr>
          <w:b/>
        </w:rPr>
        <w:t>E. 1</w:t>
      </w:r>
    </w:p>
    <w:p>
      <w:r>
        <w:t>a) Der Beklagte macht geltend, das Urteil des Obergerichts verletze Art. 110 Ziff. 1 OR . Er führt aus, die Vorinstanz gehe zu Unrecht davon aus, nach der Verwertung des Faustpfandes durch die Bank seien deren Rechte als Gläubigerin von Gesetzes wegen auf die Pfandgeberin bzw. ihre Erbinnen übergegangen. Der Beklagte ist der Ansicht, eine solche Subrogation liege nur dann vor, wenn der Dritte die fremde Schuld bezahle, um die Verwertung seines Pfandes durch den Gläubiger zu verhindern; vorliegend sei aber das Pfand nicht gemäss Art. 110 Ziff. 1 OR eingelöst, sondern verwertet worden. b) Dieser Auffassung kann nicht zugestimmt werden. Zu Recht bestätigt das Obergericht die Erwägung des Kantonsgerichtes, eine Subrogation sei unabhängig davon zu bejahen, ob die Pfandeigentümerin von sich aus das Pfand einlöse, um die fremde Schuld zu tilgen, oder ob die Bank als Gläubigerin dieses gestützt auf den Pfandbestellungsvertrag verwerte. Der SBV gewährte dem Beklagten einen Kredit, den er jedoch BGE 108 II 188 S. 190 von der Stellung eines Drittpfandes abhängig machte. Dadurch entstand ein Dreiecksverhältnis zwischen dem SBV als Pfandgläubiger, dem Beklagten als Schuldner und Frau S. bzw. den Klägerinnen als Verpfänderinnen. Im Gesetz findet sich keine Bestimmung, welche diesen Sachverhalt - insbesondere die Rechtsbeziehung zwischen Schuldner und Verpfänder - regelt. Die Sicherung der fremden Schuld durch den Dritten, den Pfandeigentümer, beruht auf einem zwischen diesem und dem Schuldner bestehenden Grundverhältnis. Befriedigt der Dritte den Gläubiger, wird im allgemeinen nach diesem Innenverhältnis beurteilt, ob und inwieweit der Drittpfandbesteller Ansprüche gegen den Schuldner geltend machen kann. Lehre und Rechtsprechung gehen davon aus, dass im Zweifel - sollten sich die Rückgriffsrechte aus dem Innenverhältnis nicht eindeutig ergeben - die Forderung des Gläubigers kraft Subrogation in gleicher Weise auf den Dritten übergeht, wie wenn er gemäss Art. 110 Ziff. 1 OR seine Pfandsache eingelöst hätte (OFTINGER/BÄR, Zürcher Kommentar, Bd. IV.2.c., N. 391 zu Art. 884 ZGB , ZOBL, Berner Kommentar, Bd. IV.2.5.1., N. 293 und 989 zu Art. 884 ZGB mit Hinweisen, SIMONIUS, Probleme des Drittpfandes, SJZ 1979, S. 373 mit Hinweisen in N. 37; vgl. BGE 95 III 55 ). c) Der Beklagte hat nicht behauptet, die Forderung der Klägerinnen entfalle, weil die Interzession ihrer verstorbenen Mutter Schenkungscharakter gehabt hätte. Es ist auch nicht ersichtlich, dass Frau S. auf jeden Regress gegenüber dem Beklagten verzichtet hätte (vgl. ZOBL, a.a.O., N. 991 zu Art. 884 ZGB ). Bleiben die Rechtsbeziehungen zwischen Beklagtem und Klägerinnen aber unklar, muss diesen - analog Art. 110 Ziff. 1 OR - ein Anspruch aus Subrogation grundsätzlich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