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184</w:t>
      </w:r>
    </w:p>
    <w:p>
      <w:r>
        <w:t>Bundesgericht (BGE), 1982-01-01, FR</w:t>
      </w:r>
    </w:p>
    <w:p>
      <w:r>
        <w:rPr>
          <w:b/>
        </w:rPr>
        <w:t xml:space="preserve">Quelle: </w:t>
      </w:r>
      <w:r>
        <w:t>https://mcp.opencaselaw.ch/entscheid/bge_BGE_108_II_184</w:t>
      </w:r>
    </w:p>
    <w:p>
      <w:r>
        <w:t>FR: ATF 108 II 184</w:t>
      </w:r>
    </w:p>
    <w:p>
      <w:r>
        <w:t>IT: DTF 108 II 184</w:t>
      </w:r>
    </w:p>
    <w:p>
      <w:pPr>
        <w:pStyle w:val="Heading2"/>
      </w:pPr>
      <w:r>
        <w:t>Regeste</w:t>
      </w:r>
    </w:p>
    <w:p>
      <w:r>
        <w:t>Regeste Art. 58 OR; Haftung des Werkeigentümers. 1. Der Eigentümer einer Strasse haftet aus Art. 58 OR wie für jedes andere Werk, wenn er, während die Strasse gebaut oder instandgestellt wird, deren ordentliche Benützung zulässt (E. 1). 2. Verschulden des Lenkers, der eine Strasse befährt, die sich im Umbau befindet; Ausschluss der Haftung des Werkeigentümers (E. 2).</w:t>
      </w:r>
    </w:p>
    <w:p>
      <w:r>
        <w:t>Regeste Art. 58 CO; responsabilité du propriétaire d'ouvrage. 1. Le propriétaire d'une route, comme de tout autre ouvrage, répond selon l'art. 58 CO dans la mesure où il affecte l'ouvrage en construction ou en réparation à son usage normal (consid. 1). 2. Comportement fautif d'un conducteur empruntant une chaussée en réparation; exclusion de la responsabilité du propriétaire d'ouvrage (consid. 2).</w:t>
      </w:r>
    </w:p>
    <w:p>
      <w:r>
        <w:t>Regesto Art. 58 CO; responsabilità del proprietario di un'opera. 1. Il proprietario di una strada, come quello di qualsiasi altra opera, risponde ai sensi dell'art. 58 CO nella misura in cui consente l'uso normale dell'opera in costruzione o in riparazione (consid. 1). 2. Comportamento colposo di un conducente che percorre una carreggiata in riparazione; esclusione della responsabilità del proprietario dell'opera (consid. 2).</w:t>
      </w:r>
    </w:p>
    <w:p>
      <w:pPr>
        <w:pStyle w:val="Heading2"/>
      </w:pPr>
      <w:r>
        <w:t>Erwägungen</w:t>
      </w:r>
    </w:p>
    <w:p>
      <w:r>
        <w:rPr>
          <w:b/>
        </w:rPr>
        <w:t>E. 1</w:t>
      </w:r>
    </w:p>
    <w:p>
      <w:r>
        <w:t>a) Selon une jurisprudence constamment suivie, quels que soient les critères généraux distinguant le droit public du droit privé, les collectivités publiques assument la responsabilité de droit privé fondée sur l' art. 58 CO pour les routes ouvertes à la circulation qui dépendent d'elles, même si ces routes relèvent du domaine public ( ATF 106 II 204 , ATF 102 II 344 et arrêts cités). Aussi l'Etat de Vaud répond-il, en principe, comme propriétaire de la route cantonale du Mollendruz. b) L' art. 58 CO présuppose un vice de construction ou un BGE 108 II 184 S. 186 défaut d'entretien d'un ouvrage terminé et utilisé conformément à sa destination; il n'est pas applicable aux conséquences d'une imperfection passagère due à sa construction ou à sa réparation ( ATF 96 II 341 et arrêts cités). Cependant, comme le relève à juste titre la recourante, le propriétaire répond selon l' art. 58 CO dans la mesure où il affecte l'ouvrage en construction ou en réparation, à son usage normal ( ATF 94 II 154 , ATF 63 II 147 , 46 II 257). Il n'y a point de raison de soustraire les routes de l'application de ce principe général. Il ne saurait en aller autrement lorsque le propriétaire affecte l'ouvrage à son usage normal, mais seulement de manière restreinte, en raison de travaux de construction ou de réfection. Quand l'usager peut se rendre compte de cette restriction, le propriétaire répond selon l' art. 58 CO de ce qui représente un défaut de construction ou d'entretien en fonction de cet usage restreint. Aussi le "propriétaire" d'une route en réfection, mais laissée ouverte à la circulation publique, répond-il selon l' art. 58 CO de ce qui doit être considéré comme un défaut de construction ou d'entretien pour une telle route; le propriétaire doit maintenir la route dans un état offrant une sécurité suffisante aux usagers eu égard à la circulation restreinte à laquelle elle est affectée (cf. ATF 102 II 345 /346); en revanche, il n'est donc point responsable d'inconvénients inhérents à de tels travaux, dont peuvent se rendre compte des usagers normalement attentifs. Ceux-ci, tenus de s'adapter aux conditions de la route et de la circulation ( art. 31 et 32 LCR ), sont astreints à une prudence particulière lorsqu'ils parcourent une route en réfection; ils doivent prendre en considération l'état de la chaussée en réfection, notamment en ce qui concerne sa largeur, son profil, son revêtement, la résistance de son sol, et s'efforcer de l'utiliser sans qu'il en résulte de dommage ( ATF 102 II 345 , 98 II 44).</w:t>
      </w:r>
    </w:p>
    <w:p>
      <w:r>
        <w:rPr>
          <w:b/>
        </w:rPr>
        <w:t>E. 2</w:t>
      </w:r>
    </w:p>
    <w:p>
      <w:r>
        <w:t>La preuve d'un vice de construction ou d'un défaut d'entretien selon l' art. 58 CO incombe à celui qui invoque cette cause de responsabilité ( art. 42 al. 1 CO , 8 CC). Or la cour cantonale constate que l'on n'a établi ni le déroulement exact de l'accident ni l'existence d'un vice de construction ou défaut d'entretien; aussi attribue-t-elle l'accident exclusivement au comportement fautif du chauffeur de camion. La recourante objecte que son chauffeur n'a pas commis de faute et que, partant, l'accident ne peut être attribué qu'à un défaut de l'ouvrage. Ces considérations relèvent en partie du fait - ce qui exclut un BGE 108 II 184 S. 187 réexamen par le Tribunal fédéral en dehors d'hypothèses non réalisées en l'occurrence ( art. 63 et 64 OJ ) - et en partie du droit, soumis à la revision du Tribunal fédéral. Il n'est pas indispensable de faire, en l'occurrence, le départ exact de l'un et l'autre. Le Tribunal fédéral examine librement au regard du droit si le chauffeur Dupraz a respecté les règles de circulation. Or, les explications que la recourante donne elle-même dans son recours, jointes aux constatations de l'arrêt attaqué, démontrent que tel n'était pas le cas. Tout d'abord, le chauffeur pouvait et devait se rendre compte que le sol en réfection, constitué de tout-venant non enrobé de bitume, nouvellement mis en place, ne présentait pas la même résistance que celle d'une route goudronnée, spécialement en bordure de route; conduisant un gros camion, particulièrement lourd lorsqu'il est chargé, il devait être spécialement attentif à cet élément, en parcourant la route en réfection. Il devait aussi tenir compte du rétrécissement de la route et des difficultés qui en résultaient pour le croisement d'autres véhicules; il devait y attacher d'autant plus d'attention qu'en raison de la résistance amoindrie du sol, l'usage de l'extrême bord de la route pouvait apparaître dangereux et que son camion était large et chargé près de la limite autorisée. De surcroît, la ridelle à l'arrière ayant été arrachée, la charge de pierres qu'il transportait avait été avancée sur l'avant du pont, ce qui déplaçait le centre de gravité à l'avant et augmentait la charge sur l'essieu avant. Il pouvait s'attendre qu'en cas de freinage, il en résulterait une force supérieure sur les roues avant et ne devait pas méconnaître non plus qu'il s'engageait à la descente, de sorte que le freinage exigeait une force supérieure qui se traduit sur les roues et la route. Enfin, il ne devait pas oublier qu'il s'engageait sur un tracé comportant un léger virage à gauche et prévoir qu'un freinage dans le tournant pouvait le déporter à droite et créer une force accrue sur les roues droites. Dans ces conditions, la vitesse de 42 km/h avec laquelle il s'est engagé sur cette route en réfection, rétrécie, à la descente et à proximité d'un léger tournant à gauche, était évidemment excessive; apparemment surpris par le croisement d'un poids lourd auquel - à tort - il ne s'attendait pas, selon les constatations déterminantes de l'arrêt attaqué, il fut "forcé, lors du croisement, à freiner brusquement, et son véhicule s'est trouvé de ce fait déporté vers la droite. C'est ainsi que (...) l'extrême bord de la chaussée (...) a pu céder". Il saute aux yeux que cette manoeuvre intempestive de Dupraz est due exclusivement à ce qu'il n'a point BGE 108 II 184 S. 188 pris en considération les éléments ci-dessus qui auraient dû lui dicter sa conduite; s'il l'avait fait, il n'aurait pas eu besoin de freiner brusquement - ce qui a déporté son véhicule à l'extrême droite -, le freinage intempestif n'aurait pas accumulé au lieu de l'accident la force élevée qui a fait céder la chaussée et celle-ci aurait vraisemblablement résisté. Que d'autres véhicules aient aussi circulé à cet endroit à une allure de 40 à 50 km/h est sans portée. En effet, d'une part on ignore dans quelles conditions exactes ils l'ont fait et par ailleurs la faute éventuelle d'autres chauffeurs ne saurait rendre licite le comportement du chauffeur Dupraz. Aussi est-ce à tort que la recourante entend déduire de la conduite prétendument correcte de son chauffeur que l'accident serait dû exclusivement à un vice de construction ou un défaut d'entretien. Ceux-ci ne sont par ailleurs établis par aucun élément.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