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180</w:t>
      </w:r>
    </w:p>
    <w:p>
      <w:r>
        <w:t>Bundesgericht (BGE), 1982-01-01, FR</w:t>
      </w:r>
    </w:p>
    <w:p>
      <w:r>
        <w:rPr>
          <w:b/>
        </w:rPr>
        <w:t xml:space="preserve">Quelle: </w:t>
      </w:r>
      <w:r>
        <w:t>https://mcp.opencaselaw.ch/entscheid/bge_BGE_108_II_180</w:t>
      </w:r>
    </w:p>
    <w:p>
      <w:r>
        <w:t>FR: ATF 108 II 180</w:t>
      </w:r>
    </w:p>
    <w:p>
      <w:r>
        <w:t>IT: DTF 108 II 180</w:t>
      </w:r>
    </w:p>
    <w:p>
      <w:pPr>
        <w:pStyle w:val="Heading2"/>
      </w:pPr>
      <w:r>
        <w:t>Regeste</w:t>
      </w:r>
    </w:p>
    <w:p>
      <w:r>
        <w:t>Regeste Derogatorische Kraft des Bundesrechts bezüglich der Zwangsvollstreckung (Art. 38 Abs. 1 SchKG). Fahrnispfandrecht (Art. 884 ff. ZGB). 1. Das kantonale Prozessrecht kann nicht vorsorgliche Massnahmen vorsehen, die die Vollstreckung einer Geldforderung nach ergangenem Urteil sichern sollen (E. 2). 2. Das Fahrnispfandrecht enthält keine Lücke, die eine analoge Anwendung der Grundpfandbestimmungen hinsichtlich der Sicherungsbefugnisse bei Wertverminderung der Pfandsache rechtfertigen könnte (E. 3).</w:t>
      </w:r>
    </w:p>
    <w:p>
      <w:r>
        <w:t>Regeste Force dérogatoire du droit fédéral en matière d'exécution forcée (art. 38 al. 1 LP). Droit de gage mobilier (art. 884 ss CC). 1. Les cantons ne peuvent, par voie de mesures provisionnelles fondées sur des dispositions de procédure cantonale, garantir le recouvrement après procès de sommes d'argent en faveur du créancier (consid. 2). 2. Le droit de gage mobilier ne comporte aucune lacune qui justifierait l'application par analogie des règles du gage immobilier relatives aux sûretés en cas de dépréciation de l'objet mis en gage (consid. 3).</w:t>
      </w:r>
    </w:p>
    <w:p>
      <w:r>
        <w:t>Regesto Forza derogatoria del diritto federale in materia di esecuzione forzata (art. 38 cpv. 1 LEF). Diritto di pegno mobiliare (art. 884 segg. CC). 1. I Cantoni non possono, mediante provvedimenti d'urgenza fondati su disposizioni della procedura cantonale, garantire il pagamento, una volta terminato il processo, di somme di denaro a favore del creditore (consid. 2). 2. Il diritto di pegno mobiliare non comporta alcuna lacuna che giustifichi l'applicazione per analogia delle norme sul pegno immobiliare relative alle garanzie in caso di deprezzamento dell'oggetto costituito in pegno (consid. 3).</w:t>
      </w:r>
    </w:p>
    <w:p>
      <w:pPr>
        <w:pStyle w:val="Heading2"/>
      </w:pPr>
      <w:r>
        <w:t>Erwägungen</w:t>
      </w:r>
    </w:p>
    <w:p>
      <w:r>
        <w:rPr>
          <w:b/>
        </w:rPr>
        <w:t>E. 2</w:t>
      </w:r>
    </w:p>
    <w:p>
      <w:r>
        <w:t>Le recourant se plaint d'un déni de justice matériel. Selon lui, l'autorité cantonale aurait appliqué de manière arbitraire l'art. 101 du Code de procédure civile vaudois (CPC) où sont énumérés les cas dans lesquels peuvent être ordonnées des mesures provisionnelles. BGE 108 II 180 S. 182 a) L'exécution forcée ayant pour objet une somme d'argent ou des sûretés à fournir s'opère par la poursuite pour dettes ( art. 38 al. 1 LP ). Le droit fédéral régit, à titre exclusif, cette matière (art. 2 Disp.trans. Cst.). Il en résulte que les cantons n'ont pas le pouvoir d'ordonner, en vertu du droit cantonal, des mesures provisionnelles destinées à assurer le recouvrement après procès de sommes d'argent en faveur du créancier ( ATF 85 II 196 , ATF 86 II 295 ). b) En l'espèce, les sûretés prévues par le contrat du 7 janvier 1976 visent précisément à assurer l'exécution du futur jugement arbitral, s'il condamne l'intimé à payer au recourant plus qu'il ne lui a déjà versé, voire à garantir le paiement de la somme qui serait fixée par transaction. Les mesures provisionnelles requises par le recourant tendent au même but, puisqu'elles devraient permettre de compléter les sûretés constituées en vue de l'exécution du jugement à venir portant condamnation à payer une somme d'argent. Elles relèvent donc exclusivement du droit fédéral, plus particulièrement des dispositions sur le séquestre prévoyant une protection provisoire du créancier ( art. 271 ss LP ). Le recourant n'a, en l'occurrence, pas requis un tel séquestre. c) ...</w:t>
      </w:r>
    </w:p>
    <w:p>
      <w:r>
        <w:rPr>
          <w:b/>
        </w:rPr>
        <w:t>E. 3</w:t>
      </w:r>
    </w:p>
    <w:p>
      <w:r>
        <w:t>Le recourant soutient également que l'autorité serait tombée dans l'arbitraire en n'admettant pas que le droit civil fédéral lui accorderait la protection requise. Il invoque à cet égard une application par analogie de la règle de l' art. 809 CC selon laquelle, dans le gage immobilier, le créancier peut, en cas de dépréciation de l'immeuble, exiger du débiteur des sûretés ou le rétablissement de l'état antérieur (al. 1) et a même le droit de demander à ce dernier des sûretés en cas de simple danger de dépréciation (al. 2). a) Selon la jurisprudence, la notion de dépréciation contenue à l' art. 809 CC concerne le résultat d'atteintes matérielles portées à l'immeuble et non celui provenant d'actes juridiques ( ATF 43 III 144 ). La diminution de la valeur économique du gage, indépendante d'une atteinte matérielle, n'est ainsi pas visée par cette disposition. Aussi bien, son application par analogie au droit de gage mobilier serait-elle en l'occurrence sans effet, puisque les papiers-valeurs que sont les actions n'ont subi aucune atteinte matérielle et que les droits incorporés dans ces titres n'ont eux-mêmes pas été atteints en tant que tels. b) Même si l'on voulait donner à la notion de dépréciation une portée plus large, l'application par analogie que propose le recourant supposerait l'existence, dans le droit de gage mobilier, d'une lacune BGE 108 II 180 S. 183 sur ce point que le juge devrait combler. Or, une telle lacune n'existe pas. En effet, le gage immobilier est caractérisé par le fait que le constituant conserve la possession du gage, alors que dans le nantissement (à l'exception de l'engagement du bétail selon l' art. 885 CC ) et dans le droit de rétention, le créancier détient la chose mobilière objet du gage. Aussi les mesures de sûreté en faveur du créancier gagiste immobilier, telles qu'elles sont prévues aux art. 808 ss CC , s'expliquent-elles par la considération que, n'ayant point la maîtrise effective de la chose, le créancier mérite d'être protégé à l'égard du constituant et du débiteur. Au contraire, le même besoin de protection n'existe pas dans le nantissement ordinaire ni dans le droit de rétention, puisque le créancier exerçant la possession est en général à même de prendre lui-même les mesures de protection nécessaires. Il existe une certaine analogie entre le gage immobilier et l'engagement du bétail ( art. 885 CC ), dans lequel le constituant conserve aussi la possession de la bête et où la publicité du gage est également assurée par l'inscription dans un registre public; c'est la raison pour laquelle la doctrine propose une application analogique des art. 808 ss CC à l'engagement du bétail (cf. OFTINGER/BÄR, n. 55 ad art. 885; ZOBL, n. 13, 91 ad art. 885 et les auteurs cités). En revanche, la doctrine ne propose pas une telle application par analogie aux autres branches du gage mobilier. L'opinion de WIELAND (Droits réels, vol. II, remarques préliminaires aux art. 884 ss n. 1 i.f.), citée par la cour cantonale, n'est pas décisive; en effet, si cet auteur envisage d'une manière générale la possibilité de se référer au droit de gage immobilier pour combler des lacunes du droit de gage mobilier, il ne se prononce nullement sur une application analogique des Art. 808 ss CC . Il n'est en outre pas démontré qu'en pratique, le besoin d'une telle protection se soit manifesté dans le droit de gage mobilier. En particulier dans le nantissement, les parties peuvent aisément, si elles le désirent, adopter des règles contractuelles aptes à protéger suffisamment le créancier. L'introduction d'un droit légal au complètement du gage - surtout s'il devait s'étendre à l'hypothèse d'une simple dépréciation économique - recèlerait le danger de complications inutiles entre parties. On ne saurait donc admettre l'existence d'une lacune dans le droit du nantissement.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