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149</w:t>
      </w:r>
    </w:p>
    <w:p>
      <w:r>
        <w:t>Bundesgericht (BGE), 1982-01-01, FR</w:t>
      </w:r>
    </w:p>
    <w:p>
      <w:r>
        <w:rPr>
          <w:b/>
        </w:rPr>
        <w:t xml:space="preserve">Quelle: </w:t>
      </w:r>
      <w:r>
        <w:t>https://mcp.opencaselaw.ch/entscheid/bge_BGE_108_II_149</w:t>
      </w:r>
    </w:p>
    <w:p>
      <w:r>
        <w:t>FR: ATF 108 II 149</w:t>
      </w:r>
    </w:p>
    <w:p>
      <w:r>
        <w:t>IT: DTF 108 II 149</w:t>
      </w:r>
    </w:p>
    <w:p>
      <w:pPr>
        <w:pStyle w:val="Heading2"/>
      </w:pPr>
      <w:r>
        <w:t>Regeste</w:t>
      </w:r>
    </w:p>
    <w:p>
      <w:r>
        <w:t>Regeste Art. 63 Abs. 3 lit. b SVG. Die Anwendung dieser Bestimmung ist nicht auf besondere Arten von Unfällen beschränkt und setzt nicht voraus, dass der Geschädigte sich der durch das Fahrzeug bewirkten Gefahr bewusst aussetzt.</w:t>
      </w:r>
    </w:p>
    <w:p>
      <w:r>
        <w:t>Regeste Art. 63 al. 3 lettre b LCR. L'application de cette disposition n'est pas limitée à certaines catégories de sinistres et ne suppose pas que le lésé se soit volontairement exposé au risque créé par le véhicule du détenteur.</w:t>
      </w:r>
    </w:p>
    <w:p>
      <w:r>
        <w:t>Regesto Art. 63 cpv. 3 lett. b LCS. L'applicazione di questa disposizione non è limitata a determinate categorie di sinistri e non presuppone che il danneggiato si sia volontariamente esposto al rischio creato dal veicolo del detentore.</w:t>
      </w:r>
    </w:p>
    <w:p>
      <w:pPr>
        <w:pStyle w:val="Heading2"/>
      </w:pPr>
      <w:r>
        <w:t>Erwägungen</w:t>
      </w:r>
    </w:p>
    <w:p>
      <w:r>
        <w:rPr>
          <w:b/>
        </w:rPr>
        <w:t>E. 1</w:t>
      </w:r>
    </w:p>
    <w:p>
      <w:r>
        <w:t>Les parties ont admis à juste titre que leur litige fût tranché selon les dispositions du droit suisse. Si l'accident qui en est BGE 108 II 149 S. 151 l'origine s'est produit en Italie, les véhicules en cause étaient immatriculés en Suisse, où l'intimé avait son domicile ( art. 85 al. 2 lettre b LCR ). Il n'est pas contesté que la clause d'exclusion invoquée par la recourante ne peut avoir un sens différent de celui de l' art. 63 al. 3 lettre b LCR , dont elle est la reprise. Partant, le litige qui divise les parties ne porte en définitive que sur l'interprétation et l'application de la norme légale précitée.</w:t>
      </w:r>
    </w:p>
    <w:p>
      <w:r>
        <w:rPr>
          <w:b/>
        </w:rPr>
        <w:t>E. 2</w:t>
      </w:r>
    </w:p>
    <w:p>
      <w:r>
        <w:t>L' art. 63 al. 3 lettre b LCR , à s'en tenir à son texte, permet d'exclure de l'assurance toutes les prétentions que les descendants du détenteur peuvent élever pour le dommage matériel qu'ils ont subi. Il ne soumet cette faculté d'exclusion à aucune condition ou restriction. L'admission donc de l'action de l'intimé est en soi incompatible avec la lettre de la loi. Or l'autorité qui applique une norme légale d'une manière qui contredit son texte clair commet arbitraire, à moins que des raisons suffisantes ne l'autorisent à affirmer qu'une interprétation purement littérale méconnaîtrait le sens véritable de la loi. Elle peut tirer de tels motifs de la genèse, du fondement ou du but de la norme considérée, ou de ses rapports avec d'autres dispositions légales ( ATF 104 Ia 7 et les arrêts cités). a) L' art. 48 al. 3 LA permettait déjà au détenteur de ne pas s'assurer contre les conséquences de sa responsabilité civile envers son conjoint, ses ascendants et ses descendants. L' art. 63 al. 3 lettre b LCR a repris ce principe et en a étendu l'application aux frères et soeurs du détenteur, qui vivent en ménage commun avec lui. Et si la loi du 20 mars 1975 a restreint la faculté offerte au détenteur d'exclure de l'assurance les prétentions de ses proches, en la limitant au dommage matériel, elle n'a pour le reste pas modifié le texte de l' art. 63 al. 3 lettre b LCR . L'origine des art. 48 al. 3 LA et 63 al. 3 lettre b LCR se trouve dans les débats parlementaires qui aboutirent à la loi du 10 février 1926 sur la circulation des automobiles et des cycles, rejetée en votation populaire du 15 mai 1927. La possibilité que l'art. 41 al. 3 de cette loi donnait d'exclure de l'assurance les prétentions de certains proches fut introduite de manière générale, sans être restreinte à des catégories déterminées de sinistres. Quelques allusions furent faites, il est vrai, au dommage que les proches du détenteur peuvent subir comme passagers du véhicule. Elles s'expliquent par la fréquence de ce type de sinistres entre proches, sans permettre d'inférer une volonté de limiter le domaine de l'exception apportée au principe de l'assurance obligatoire (Bull. BGE 108 II 149 S. 152 stén. CN 1925 p. 333-335, CE 1925 p. 319). On ne peut au surplus tirer aucun élément d'interprétation des débats qui ont abouti à l'adoption des art. 48 al. 3 LA et 63 al. 3 lettre b LCR. Lors des discussions sur la revision de divers articles de la loi sur la circulation routière, dont l'art. 63 al. 3 précité, le cas des proches lésés comme occupants fut certes évoqué fréquemment; aucune des déclarations faites durant les débats n'exprime toutefois ni ne sous-entend la volonté de limiter à des catégories déterminées de sinistres la faculté d'exclure de l'assurance les prétentions que certains proches peuvent élever pour leur dommage matériel (Bull. stén. CE 1974 p. 120-122, CN p. 1409). On ne saurait donc déduire de la genèse de la loi des éléments propres à infirmer son texte clair. b) La faculté introduite dans la loi d'exclure de l'assurance les prétentions de certains proches permet de reprendre en matière de circulation routière une clause usuelle dans les autres domaines de la responsabilité civile. Le système repose sur l'idée que la victime n'intente normalement pas d'action contre ses proches et que, sans la clause d'exclusion, l'existence d'une assurance pourrait entraîner le dépôt de demandes auxquelles le responsable eût échappé s'il avait dû supporter seul les conséquences de sa responsabilité (GEISSELER, Haftpflicht und Versicherung im revidierten SVG, p. 112 s.; MAURER, Privatversicherungsrecht p. 411 s.; OSWALD, Revision des Strassenverkehrsgesetz, RJB 1975 p. 218; STÄHELI, Allgemeine Haftpflichtversicherungsbedingungen, p. 20 s.; TERCIER, Les nouvelles dispositions de la LCR, Mémoires de la Faculté de droit de l'Université de Genève, XVe Journée juridique, 1975 p. 77). L'exclusion des prétentions des proches doit également prévenir le risque de collusion entre l'auteur du dommage et la victime (KOENIG, Privatversicherungsrecht, 3e éd. p. 502; OFTINGER, Schweizerisches Haftpflichtrecht, t. II/2 p. 723 s.; TERCIER, op.cit., loc.cit.). Elle devrait enfin empêcher les collisions d'intérêts et les affrontements entre membres d'une même famille, et, dans une certaine mesure, éviter un alourdissement des primes ( ATF 98 II 128 ). Les motifs invoqués pour permettre à l'assureur de se prémunir contre les prétentions des proches du détenteur tiennent tous au lien qui existe en pareil cas entre le responsable et la personne lésée, et nullement à la forme particulière qu'a pu prendre la réalisation du risque. Les considérations sur lesquelles les art. 48 al. 3 LA et 63 al. 3 lettre b LCR sont fondés s'appliquent à tous les sinistres dont sont victimes certains proches du détenteur, qu'ils aient BGE 108 II 149 S. 153 accepté de courir un risque ou qu'ils y aient été exposés par le fait du hasard. Le but de la loi ne permet dès lors pas d'en donner une interprétation restrictive, contraire à son texte clair. En 1975, le législateur a certes, dans un souci de protection accrue de la victime, supprimé la faculté d'exclure de l'assurance les prétentions des proches pour leur dommage corporel. Il n'a toutefois pas tenu ces motifs d'ordre social pour prépondérants dans le cas du dommage matériel, à l'égard duquel il a confirmé la solution adoptée en 1958 et 1932, et les considérations qui l'avaient alors guidé. c) L' art. 63 al. 3 lettre b LCR correspond en tous points à l'art. 70 al. 4 lettre a, qui permet d'exclure de l'assurance contre la responsabilité civile les prétentions que certains proches d'un cycliste peuvent élever contre lui pour leur dommage matériel. Or l'application de cette disposition ne saurait raisonnablement être limitée au passager du cycle, âgé de sept ans au plus, mais doit s'étendre à des proches engagés dans la circulation comme piétons, cyclistes ou utilisateurs de véhicules automobiles. La systématique de la loi ne permet dès lors pas d'interpréter restrictivement l'art. 63 al. 3 lettre b précité, dont elle paraît au contraire confirmer le texte clair. d) Les critères que l'autorité cantonale a tenté de dégager pour faire le départ des sinistres soumis ou soustraits aux clauses d'exclusion sont insatisfaisants, imprécis et inapplicables en pratique. On ne voit pas pour quel motif l'assurance devrait couvrir le dommage que le détenteur cause au véhicule d'un de ses proches sur la voie publique, mais non les conséquences d'une collision dans une propriété privée. De même, il n'y a aucune raison de traiter différemment les accidents qui se produisent entre deux cyclistes ou entre deux automobilistes circulant de conserve. Et l'on ne saurait, sans multiplier les cas limites, recourir à un critère aussi vague que l'exposition volontaire au risque créé par le véhicule d'un proche. Partant, la solution adoptée par l'autorité cantonale, outre qu'elle s'écarte sans motifs pertinents d'une interprétation littérale de la loi, se révèle inopportune, parce que génératrice d'insécurité juridique. L'arrêt attaqué, rendu en violation du texte clair de l' art. 63 al. 3 lettre b LCR , est donc arbitraire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