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130</w:t>
      </w:r>
    </w:p>
    <w:p>
      <w:r>
        <w:t>Bundesgericht (BGE), 1982-01-01, DE</w:t>
      </w:r>
    </w:p>
    <w:p>
      <w:r>
        <w:rPr>
          <w:b/>
        </w:rPr>
        <w:t xml:space="preserve">Quelle: </w:t>
      </w:r>
      <w:r>
        <w:t>https://mcp.opencaselaw.ch/entscheid/bge_BGE_108_II_130</w:t>
      </w:r>
    </w:p>
    <w:p>
      <w:r>
        <w:t>FR: ATF 108 II 130</w:t>
      </w:r>
    </w:p>
    <w:p>
      <w:r>
        <w:t>IT: DTF 108 II 130</w:t>
      </w:r>
    </w:p>
    <w:p>
      <w:pPr>
        <w:pStyle w:val="Heading2"/>
      </w:pPr>
      <w:r>
        <w:t>Regeste</w:t>
      </w:r>
    </w:p>
    <w:p>
      <w:r>
        <w:t>Regeste Art. 944 Abs. 1 OR und 117 HRegV. Verlegung des Sitzes einer Gesellschaft in einen anderen Registerbezirk. Voraussetzungen, unter welchen ein örtlicher Hinweis in der Firma trotz Sitzverlegung beibehalten werden darf.</w:t>
      </w:r>
    </w:p>
    <w:p>
      <w:r>
        <w:t>Regeste Art. 944 al. 1 CO et 117 ORC. Transfert du siège d'une société dans une autre circonscription de registre. Conditions auxquelles une indication relative au lieu peut être maintenue dans la raison sociale malgré le déplacement du siège.</w:t>
      </w:r>
    </w:p>
    <w:p>
      <w:r>
        <w:t>Regesto Art. 944 cpv. 1 CO, art. 117 ORC. Trasferimento della sede di una società in un'altra circoscrizione del registro di commercio. Condizioni alle quali un'indicazione relativa al luogo può essere mantenuta nella ditta malgrado il trasferimento di sede.</w:t>
      </w:r>
    </w:p>
    <w:p>
      <w:pPr>
        <w:pStyle w:val="Heading2"/>
      </w:pPr>
      <w:r>
        <w:t>Erwägungen</w:t>
      </w:r>
    </w:p>
    <w:p>
      <w:r>
        <w:rPr>
          <w:b/>
        </w:rPr>
        <w:t>E. 1</w:t>
      </w:r>
    </w:p>
    <w:p>
      <w:r>
        <w:t>Mit seinem Schreiben vom 3. November 1981 verweigert das eidgenössische Amt im Sinne von Art. 117 HRegV die Genehmigung einer Eintragung. Ein solcher Entscheid unterliegt gemäss Art. 5 HRegV der Verwaltungsgerichtsbeschwerde, auch wenn er in der Form einer internen Anweisung an den Handelsregisterführer ergangen ist ( BGE 102 Ib 111 E. 1, BGE 91 I 361 E. 1 mit Hinweisen).</w:t>
      </w:r>
    </w:p>
    <w:p>
      <w:r>
        <w:rPr>
          <w:b/>
        </w:rPr>
        <w:t>E. 2</w:t>
      </w:r>
    </w:p>
    <w:p>
      <w:r>
        <w:t>Die Beschwerdeführerin rügt eine willkürliche Anwendung von Art. 944 OR , Verweigerung des rechtlichen Gehörs im Sinne von Art. 4 BV , Verletzung von Bundesrecht einschliesslich Überschreitung und Missbrauch des Ermessens BGE 108 II 130 S. 132 gemäss Art. 104 lit. a OG , unrichtige und unvollständige Feststellung des Sachverhalts gemäss Art. 104 lit. b OG und Unangemessenheit nach Art. 104 lit. c OG . Die letztgenannte Bestimmung findet keine Anwendung, weil es an einer nach Ziff. 3 erforderlichen Sonderbestimmung fehlt ( BGE 97 I 75 E. 1). Der Sachverhalt sodann ist unbestritten, von der belanglosen Frage abgesehen, ob Wetzikon am Fusse des Bachtels oder aber einige Kilometer von diesem Berg entfernt liegt. Massgebend bleibt die Rüge, der angefochtene Entscheid verletze Art. 944 Abs. 1 OR ( Art. 104 lit. a OG ). Ein Fall nationaler oder territorialer Bezeichnung im Sinn von Art. 944 Abs. 2 OR und Art. 45/46 HRegV liegt nach zutreffender Ansicht sowohl der Beschwerdeführerin wie auch des Amtes nicht vor.</w:t>
      </w:r>
    </w:p>
    <w:p>
      <w:r>
        <w:rPr>
          <w:b/>
        </w:rPr>
        <w:t>E. 3</w:t>
      </w:r>
    </w:p>
    <w:p>
      <w:r>
        <w:t>Es ist anerkannt, dass heute keinerlei Beziehung der Beschwerdeführerin zum Bachtel als 1115 m hohem Berg im Zürcher Oberland besteht, während die Registerbehörden eine solche in räumlicher Hinsicht für den Sitz Wetzikon noch bejahten. Die Firma "Bachtel-Versand AG" verstösst daher gegen Art. 944 Abs. 1 OR , wenn sie beim durchschnittlich aufmerksamen Publikum den Eindruck einer solchen Beziehung erwecken kann ( BGE 100 Ib 243 , BGE 91 I 215 ); dass es tatsächlich zu Täuschungen kommt oder diese einen Dritten sogar schädigen müssten, ist nicht erforderlich. a) Das Amt bezeichnet den Entscheid BGE 100 Ib 240 ff. als Ausgangspunkt seiner Verfügung. Damals untersagte das Bundesgericht dem Inhaber einer Einzelfirma "Isolationswerk Bern..." diese beizubehalten, nachdem Sitz und Betrieb von Bern nach Schüpfen verlegt worden waren. Weil die Ortsangabe "Bern" nur als Hinweis auf den Sitz oder den Ort des Betriebs verstanden werden könne, sei sie nunmehr unwahr und somit täuschend (a.a.O. S. 242 E. 4). "Bachtel-Versand AG" weist aber keineswegs wie "Isolationswerk Bern" auf den Ort von Sitz oder Betrieb hin, schon deshalb nicht, weil "Bachtel" keine Ortschaft ist, die für solche Zwecke in Frage käme. Die Beschwerdeführerin macht denn auch geltend, ihre Versandkundschaft sei über die ganze Schweiz verstreut und "Bachtel" erwecke bei dieser keinerlei lokale Vorstellung. Das Amt bestreitet das nicht, will aber auch Dritte schützen, die nicht unmittelbar im Geschäftsverkehr mit der Beschwerdeführerin stehen, also auch Behörden, öffentliche Dienste, Marktforschungsbetriebe, Stellensuchende usw. Diese Begründung überzeugt jedoch nicht, weil sich die Genannten in der Regel aufgrund der Adresse, nicht allein aufgrund der Firma an die Gesellschaft wenden. BGE 108 II 130 S. 133 b) Die Praxis der Handelsregisterbehörden lässt in Firmen Hinweise auf höhere Berge wie Matterhorn, Eiger, Bernina oder Titlis auch ohne örtliche Beziehung als Phantasiebezeichnungen zu. Bei mittleren Bergen wie Säntis, Pilatus oder Rigi befindet sich in der Regel der Sitz der Unternehmen, die den Namen dieser Berge firmenmässig verwenden, in deren Nähe, ebenso bei kleineren Erhebungen wie Albis, Etzel oder Lägern. Bei Pässen wie Grimsel oder Simplon ist dagegen die Praxis uneinheitlich. Das Amt gibt zu, dass Ausnahmen nicht selten sind, will sich jedoch unter Berufung auf die Rechtsprechung ( BGE 100 Ib 244 E. 5b mit Hinweisen) bei diesen nicht behaften lassen. Auch wenn dem an sich beizupflichten ist, zeigen doch nicht nur diese Ausnahmen, sondern genauso der vom Amt verfochtene Grundsatz, wie fragwürdig solche generellen Unterscheidungen sind. So ist nicht ohne weiteres ersichtlich, weshalb Namen von Bergen, welche allgemein bekannt sind, in Firmen als Phantasiebezeichnungen erlaubt sein sollen, nicht jedoch Bergnamen, welche lediglich lokale Bedeutung haben, ausserhalb dieses Gebietes hingegen in der Regel unbekannt sind und folglich erst recht nur Phantasiecharakter haben können. Zu Recht weist das Amt darauf hin, dass konsequenterweise auch für eine Sitzverlegung nach Genf oder Romanshorn gelten muss, was die Beschwerdeführerin für Oberuzwil beansprucht. Dass aber auch in Romanshorn oder gar in Genf "Bachtel-Versand" mit dem bescheidenen Berg im Zürcher Oberland in Verbindung gebracht würde, ist völlig unwahrscheinlich und wird nicht einmal für Oberuzwil behauptet. Davon abgesehen findet sich im Ortsverzeichnis des Eidg. Statistischen Amtes die Bezeichnung "Bachtel" auch für Orte in den Gemeinden Horw LU und Kaltbrunn SG, nicht zu reden von den zahlreichen "Bachtelen" in den Kantonen Bern, Solothurn und Schwyz. Die Kriterien, die das Amt verficht, führen daher heute schon zu den Abgrenzungsschwierigkeiten, die es befürchtet, sollte die Beschwerde gutgeheissen werden.</w:t>
      </w:r>
    </w:p>
    <w:p>
      <w:r>
        <w:rPr>
          <w:b/>
        </w:rPr>
        <w:t>E. 4</w:t>
      </w:r>
    </w:p>
    <w:p>
      <w:r>
        <w:t>Ob die Verwendung einer Ortsbezeichnung in einer Firma zu Täuschungen Anlass geben kann, ist somit nicht abstrakt, sondern nur anhand der besonderen Umstände des Einzelfalles zu beurteilen ( BGE 100 Ib 244 /5, PATRY, Schweiz. Privatrecht, Bd. VIII/1, S. 159 lit. a). Es ist bereits ausgeführt worden, dass anders als bei "Isolationswerk Bern" die streitige Firma nicht auf einen Sitz oder Betrieb am oder gar auf dem Bachtel hinweist. Das schliesst nicht aus, dass in Verbindung mit andern Angaben, BGE 108 II 130 S. 134 besonders über die Natur der Unternehmung, gleichwohl eine täuschende Wirkung zustandekommen kann, wie etwa bei den vom Amt genannten Beispielen "Bachtel Tourismus AG", "Lägern Immobilien AG" oder "Lägern-Kalksteinbrüche AG", die entsprechende örtliche Bezeichnungen wenn nicht für den Sitz, so doch für die Tätigkeit der Unternehmung voraussetzen. Allenfalls könnte gleiches für die "Bachtel AG Immobilien" mit Sitz in Zürich gelten, die vom Amt als Ausnahme von der Praxis erwähnt wird. Dieselbe Täuschungsgefahr besteht aber auch im Zusammenhang mit hohen Bergen, welche das Amt als Phantasiebezeichnungen gelten lässt, denn auch "Eiger-Granitwerk AG" oder "Titlis-Kalksteinbrüche AG" wäre irreführend, wenn die Unternehmungen nach Sitz und Tätigkeit mit den in den Firmen genannten Bergen nichts zu tun hätten. Die Verbindung "Bachtel-Versand AG" stellt jedoch keinerlei Zusammenhang zwischen Ortsangabe und Tätigkeit der Unternehmung her und ist daher auch in dieser Hinsicht nicht zu beanstanden, sowenig wie etwa eine - vom Amt als abschreckende Beispiele herangezogene - "Albis Versand AG" in Luzern oder "Etzel Finanz AG" in Zürich.</w:t>
      </w:r>
    </w:p>
    <w:p>
      <w:r>
        <w:rPr>
          <w:b/>
        </w:rPr>
        <w:t>E. 5</w:t>
      </w:r>
    </w:p>
    <w:p>
      <w:r>
        <w:t>Die Firma "Bachtel-Versand AG" kann auch an ihrem neuen Sitz in Oberuzwil vernünftigerweise nicht zu Täuschungen Anlass geben. Die Beschwerde ist daher gutzuheissen. Es erübrigt sich zu prüfen, ob der angeblich der Beschwerdeführerin durch eine Firmenänderung drohende Schaden zum gleichen Ergebnis führen könnte (vgl. demgegenüber BGE 100 Ib 245 E. 6). Ebensowenig braucht auf die Rüge einer Verweigerung des rechtlichen Gehörs eingetreten zu werden, die darin bestehen soll, dass die Beschwerdeführerin vor der angefochtenen Verfügung nicht angehört worden sei; sie wäre angesichts des in den Art. 114 ff. HRegV niedergelegten Verfahrens auch kaum berechtigt.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