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118</w:t>
      </w:r>
    </w:p>
    <w:p>
      <w:r>
        <w:t>Bundesgericht (BGE), 1982-01-01, FR</w:t>
      </w:r>
    </w:p>
    <w:p>
      <w:r>
        <w:rPr>
          <w:b/>
        </w:rPr>
        <w:t xml:space="preserve">Quelle: </w:t>
      </w:r>
      <w:r>
        <w:t>https://mcp.opencaselaw.ch/entscheid/bge_BGE_108_II_118</w:t>
      </w:r>
    </w:p>
    <w:p>
      <w:r>
        <w:t>FR: ATF 108 II 118</w:t>
      </w:r>
    </w:p>
    <w:p>
      <w:r>
        <w:t>IT: DTF 108 II 118</w:t>
      </w:r>
    </w:p>
    <w:p>
      <w:pPr>
        <w:pStyle w:val="Heading2"/>
      </w:pPr>
      <w:r>
        <w:t>Regeste</w:t>
      </w:r>
    </w:p>
    <w:p>
      <w:r>
        <w:t>Regeste Verkauf von Flugbilleten auf Kredit durch ein Reisebüro. 1. Vertretung des Luftfrachtführers durch das Reisebüro (E. 1). 2. Art. 401 OR ist auf die Kaufpreisforderung anwendbar, welche das Reisebüro als indirekter Stellvertreter des Luftfrachtführers erworben hat (E. 2). 3. Lässt sich bei Konkurs des Reisebüros die Masse den Preis des Flugbillets bezahlen, erwirbt der Luftfrachtführer, der sich auf Art. 401 OR berufen kann, eine Ersatzforderung, die gemäss Art. 262 Abs. 1 SchKG vorab beglichen werden muss (E. 2).</w:t>
      </w:r>
    </w:p>
    <w:p>
      <w:r>
        <w:t>Regeste Vente à crédit de billets d'avion par une agence de voyages. 1. Représentation du transporteur aérien par l'agence de voyages (consid. 1). 2. L'art. 401 CO s'applique à la créance pour le prix du billet que l'agence a acquise comme représentante indirecte du transporteur (consid. 2). 3. Si, en cas de faillite de l'agence, la masse perçoit le prix du billet, le transporteur au bénéfice de l'art. 401 CO acquiert une créance compensatoire payable selon les modalités de l'art. 262 al. 1 LP (consid. 2).</w:t>
      </w:r>
    </w:p>
    <w:p>
      <w:r>
        <w:t>Regesto Vendita a credito di biglietti d'aereo da parte di un'agenzia di viaggi. 1. Rappresentanza del vettore aereo da parte dell'agenzia di viaggi (consid. 1). 2. L'art. 401 CO si applica al credito per il prezzo del biglietto, acquistato dall'agenzia quale rappresentante indiretta del vettore (consid. 2). 3. Se, in caso di fallimento dell'agenzia, la massa incassa il prezzo del biglietto, il vettore che beneficia dell'art. 401 CO acquista un credito compensativo pagabile secondo la modalità di cui all'art. 262 cpv. 1 LEF (consid. 2).</w:t>
      </w:r>
    </w:p>
    <w:p>
      <w:pPr>
        <w:pStyle w:val="Heading2"/>
      </w:pPr>
      <w:r>
        <w:t>Erwägungen</w:t>
      </w:r>
    </w:p>
    <w:p>
      <w:r>
        <w:rPr>
          <w:b/>
        </w:rPr>
        <w:t>E. 1</w:t>
      </w:r>
    </w:p>
    <w:p>
      <w:r>
        <w:t>Les parties admettent à juste titre avoir été liées par un contrat d'agence au sens des art. 418a ss CO . La défenderesse avait qualité d'agent stipulateur puisqu'elle avait pris à titre permanent l'engagement de conclure des affaires, soit d'émettre et de délivrer des billets au nom et pour le compte de la demanderesse, sans être liée envers elle par un contrat de travail. L'agence de voyages qui vend, comme agent stipulateur, les billets d'une compagnie d'aviation en est la représentante et crée un lien contractuel direct entre le client et le transporteur aérien (DALLÈVES, Le contrat de voyage, Mémoires de la Faculté de droit de Genève, XIVe journée juridique, 1974, p. 2; WISWALD, Les agences de voyages, thèse Lausanne 1964, p. 47; SCHLEICHER/REYMANN/ABRAHAM, Das Recht der Luftfahrt, 3e éd., p. 274). Le client, partie au contrat de transport dont le billet de passage constitue la preuve, acquiert une créance contre la compagnie, le droit d'exiger d'elle les services définis dans les documents de transport. Il ressort en revanche des conditions du contrat passé avec l'IATA que la défenderesse encaissait le prix des billets en son propre nom, même si elle le faisait pour le compte des compagnies de l'association, pour lesquelles elle devait conserver les montants perçus. Elle pouvait faire crédit à ses clients et, en ce cas, leur adressait une facture établie à son nom. Les règlements de l'IATA ne lui interdisaient même pas, comme agence agréée, de céder à des banques les créances qu'elle possédait contre les acheteurs de billets à crédit, pour obtenir les liquidités dont elle aurait pu estimer avoir besoin. Partant, la défenderesse, en sa qualité d'agence IATA, était titulaire du droit au paiement du prix des billets, des créances dirigées contre les voyageurs et découlant des contrats de transport. Elle agissait toutefois, à cet égard, pour le compte des compagnies affiliées à l'IATA, dont elle était donc la représentante indirecte. Elle le faisait en vertu d'un mandat qui lui avait été confié en conformité des art. 394 ss CO , et non pas en exécution de son contrat d'agence proprement dit, car, selon le texte légal, l'agent stipulateur est toujours un représentant direct ( art. 418a al. 1 CO ). La défenderesse était dès lors à la fois représentante directe en vertu du contrat d'agence, puisque, en BGE 108 II 118 S. 121 délivrant les billets, elle conférait à ses clients une prétention dirigée contre la demanderesse, soit le droit d'exiger les services couverts par les documents de transport, et représentante indirecte en vertu du contrat de mandat qui l'autorisait à encaisser ou réclamer le prix des billets en son nom mais pour le compte de la demanderesse.</w:t>
      </w:r>
    </w:p>
    <w:p>
      <w:r>
        <w:rPr>
          <w:b/>
        </w:rPr>
        <w:t>E. 2</w:t>
      </w:r>
    </w:p>
    <w:p>
      <w:r>
        <w:t>Selon l' art. 401 CO , les créances que le mandataire acquiert en son nom mais pour le compte du mandant passent à celui-ci dès qu'il a satisfait à ses propres obligations. Le mandant peut aussi se prévaloir de cette subrogation contre la masse du mandataire tombé en faillite ( art. 401 al. 2 CO ). La disposition précitée s'applique à toutes espèces de mandats, y compris ceux qui sont confiés à un représentant indirect ( ATF 102 II 301 , ATF 102 II 106 , ATF 99 II 393 ss). Il n'a été ni constaté ni même allégué que la demanderesse ait manqué à ses obligations envers la défenderesse, notamment celle de payer la rémunération convenue. Au contraire, elle a déduit de ses prétentions et imputé sur ses conclusions le montant des commissions dues à la défenderesse pour les services rendus dans son activité d'agent. La demanderesse est donc légalement subrogée dans toutes les créances que la défenderesse a acquises par la vente à crédit de billets Swissair. Il n'en irait d'ailleurs pas autrement si, ce faisant, la défenderesse avait opéré non comme mandataire proprement dit mais en qualité d'agent. L' art. 418b al. 1 CO renvoie en effet, à titre supplétif, aux dispositions applicables au courtage ou à la commission, lesquelles renvoient à leur tour aux règles du mandat ( art. 412 al. 2, art. 425 al. 2 CO ). Seuls les biens qui tombent dans la masse peuvent être affectés au paiement des créanciers du failli ( art. 197 LP ). Les objets appartenant à des tiers doivent leur être remis ( art. 242 LP ). De même, le produit des droits dont le failli n'est pas titulaire, et qui n'entrent pas dans la masse pour un autre motif, ne saurait servir à désintéresser les créanciers. Si, à la suite d'une erreur ou pour toute autre raison, ce produit parvient à l'administration de la faillite, il doit être immédiatement remis au véritable ayant droit. Partant, lorsque la masse encaisse une somme d'argent qui ne lui est pas due à elle mais à un tiers valablement subrogé dans les droits du failli, elle doit faire parvenir le montant reçu à ce tiers cessionnaire, en tout cas si le paiement a eu plein effet libératoire ( ATF 70 III 84 ; arrêt non publié du 29 avril 1981 en la cause E. GUNZIGER et Cie, en liquidation concordataire, c. Banque BGE 108 II 118 S. 122 populaire suisse). L'ayant droit subrogé qui a été frustré du paiement acquiert contre la masse une créance compensatoire payable selon les modalités de l' art. 262 al. 1 LP (BLUMENSTEIN, Handbuch des Schweizerischen Schuldbetreibungsrechtes, p. 674). La Cour cantonale a dès lors justement condamné la masse défenderesse à payer à la demanderesse les montants encaissés indûment sur les créances dans lesquelles cette dernière avait été subrogée.</w:t>
      </w:r>
    </w:p>
    <w:p>
      <w:r>
        <w:rPr>
          <w:b/>
        </w:rPr>
        <w:t>E. 3</w:t>
      </w:r>
    </w:p>
    <w:p>
      <w:r>
        <w:t>La défenderesse fait valoir en vain qu'elle s'était engagée envers la demanderesse à lui payer le prix des billets vendus à crédit, et qu'elle avait fourni des garanties à cet effet. Le mandataire qui acquiert des créances en son nom mais pour le compte de son mandant peut fort bien se porter codébiteur solidaire ou garant du principal obligé. De tels engagements ne sont incompatibles ni avec la qualité de représentant indirect, ni avec l'application de l' art. 401 CO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