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122</w:t>
      </w:r>
    </w:p>
    <w:p>
      <w:r>
        <w:t>Bundesgericht (BGE), 1982-01-01, FR</w:t>
      </w:r>
    </w:p>
    <w:p>
      <w:r>
        <w:rPr>
          <w:b/>
        </w:rPr>
        <w:t xml:space="preserve">Quelle: </w:t>
      </w:r>
      <w:r>
        <w:t>https://mcp.opencaselaw.ch/entscheid/bge_BGE_108_III_122</w:t>
      </w:r>
    </w:p>
    <w:p>
      <w:r>
        <w:t>FR: ATF 108 III 122</w:t>
      </w:r>
    </w:p>
    <w:p>
      <w:r>
        <w:t>IT: DTF 108 III 122</w:t>
      </w:r>
    </w:p>
    <w:p>
      <w:pPr>
        <w:pStyle w:val="Heading2"/>
      </w:pPr>
      <w:r>
        <w:t>Regeste</w:t>
      </w:r>
    </w:p>
    <w:p>
      <w:r>
        <w:t>Regeste Eigentumsansprache an Gegenständen, die im Sinne von Art. 283 SchKG in eine Retentionsurkunde aufgenommen wurden; Umfang der Retentionsurkunde (Art. 97 Abs. 2 SchKG). 1. Grenzen der Prüfungsbefugnis der Betreibungsbehörden bezüglich Einreden Dritter, mit denen ein besseres Recht geltend gemacht wird (Erw. 4). 2. Umfang der Retentionsurkunde, wenn gewisse Vermögenswerte von Dritten beansprucht werden (Erw. 5).</w:t>
      </w:r>
    </w:p>
    <w:p>
      <w:r>
        <w:t>Regeste Revendication de biens faisant l'objet d'une prise d'inventaire au sens de l'art. 283 LP; étendue de l'inventaire (art. 97 al. 2 LP). 1. Limites du pouvoir d'examen appartenant aux autorités de poursuite sur les moyens tirés de droits préférables invoqués par des tiers (consid. 4). 2. Etendue de la prise d'inventaire lorsque certains biens sont revendiqués par des tiers (consid. 5).</w:t>
      </w:r>
    </w:p>
    <w:p>
      <w:r>
        <w:t>Regesto Rivendicazione di beni compresi in un inventario fatto ai sensi dell'art. 283 LEF; estensione dell'inventario (art. 97 cpv. 2 LEF). 1. Limiti del potere cognitivo delle autorità delle esecuzioni per quanto concerne le censure relative a diritti poziori invocati da terzi (consid. 4). 2. Estensione dell'inventario ove determinati beni siano rivendicati da terzi (consid. 5).</w:t>
      </w:r>
    </w:p>
    <w:p>
      <w:pPr>
        <w:pStyle w:val="Heading2"/>
      </w:pPr>
      <w:r>
        <w:t>Erwägungen</w:t>
      </w:r>
    </w:p>
    <w:p>
      <w:r>
        <w:rPr>
          <w:b/>
        </w:rPr>
        <w:t>E. 4</w:t>
      </w:r>
    </w:p>
    <w:p>
      <w:r>
        <w:t>La revendication d'un tiers sur les objets soumis à l'inventaire ne fait pas obstacle à l'exécution de la mesure. Les litiges sur la propriété des biens inventoriés ou sur le principe du droit de rétention qui frappe des biens n'appartenant pas au preneur relèvent du juge civil et doivent être tranchés dans la procédure de revendication ( ATF 104 III 27 consid. 2, ATF 96 III 69 consid. 1). Sont donc sans pertinence, dans la procédure de plainte et de recours, les moyens que la recourante tire des droits préférables invoqués par sa mère sur les objets inventoriés. Seule peut être réservée l'hypothèse, non réalisée en l'espèce, dans laquelle la propriété d'un tiers sur certains des biens inventoriés et l'inexistence du droit de rétention apparaissent d'emblée incontestables.</w:t>
      </w:r>
    </w:p>
    <w:p>
      <w:r>
        <w:rPr>
          <w:b/>
        </w:rPr>
        <w:t>E. 5</w:t>
      </w:r>
    </w:p>
    <w:p>
      <w:r>
        <w:t>La règle de l' art. 97 al. 2 LP qui interdit à l'office de saisir plus de biens qu'il n'est nécessaire pour satisfaire le créancier en capital, intérêts et frais, s'applique par analogie à la prise d'inventaire ( ATF 97 III 46 consid. 4, ATF 93 III 22 , ATF 61 III 11 ss). Elle a été violée en l'espèce, puisque l'inventaire litigieux, dressé pour une créance de moins de 3'000 francs, porte sur des biens estimés à plus de 22'000 francs. Que les objets en cause fussent revendiqués par un tiers n'autorisait pas l'Office à faire abstraction de la règle précitée, mais seulement à y déroger dans la mesure nécessaire à couvrir le risque d'une reconnaissance des droits préférables invoqués à l'encontre de l'inventaire. Il incombait à l'Office d'apprécier les probabilités d'une levée de l'inventaire sur tel ou tel bien à l'issue de la procédure de revendication, et d'étendre en conséquence les effets de la mesure, dans une proportion raisonnable, au-delà de ce qui eût été strictement indispensable pour couvrir le montant de la créance. Dispositiv Par ces motifs, la Chambre des poursuites et des faillites: Admet le recours dans la mesure où il est recevable et réforme la décision attaquée en ce sens que l'Office des poursuites de Genève est invité à limiter la prise d'inventaire, lors de son exécution, aux biens nécessaires à couvrir la créance objet de la poursuite en capital, intérêts et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