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119</w:t>
      </w:r>
    </w:p>
    <w:p>
      <w:r>
        <w:t>Bundesgericht (BGE), 1982-01-01, DE</w:t>
      </w:r>
    </w:p>
    <w:p>
      <w:r>
        <w:rPr>
          <w:b/>
        </w:rPr>
        <w:t xml:space="preserve">Quelle: </w:t>
      </w:r>
      <w:r>
        <w:t>https://mcp.opencaselaw.ch/entscheid/bge_BGE_108_III_119</w:t>
      </w:r>
    </w:p>
    <w:p>
      <w:r>
        <w:t>FR: ATF 108 III 119</w:t>
      </w:r>
    </w:p>
    <w:p>
      <w:r>
        <w:t>IT: DTF 108 III 119</w:t>
      </w:r>
    </w:p>
    <w:p>
      <w:pPr>
        <w:pStyle w:val="Heading2"/>
      </w:pPr>
      <w:r>
        <w:t>Regeste</w:t>
      </w:r>
    </w:p>
    <w:p>
      <w:r>
        <w:t>Regeste Arrestvollzug; Art. 2 ZGB. Aus einem wegen Rechtsmissbrauch aufgehobenen Arrest darf auch ein Drittgläubiger keinen Nutzen ziehen. Hat er vom Rechtsmissbrauch Kenntnis, darf er nicht die aus dem aufgehobenen Arrest stammenden und noch beim Betreibungsamt liegenden Vermögenswerte des Schuldners zu seinen Gunsten verarrestieren lassen.</w:t>
      </w:r>
    </w:p>
    <w:p>
      <w:r>
        <w:t>Regeste Exécution de séquestre; art. 2 CC. Un tiers créancier ne doit pas, lui non plus, tirer avantage d'un séquestre levé pour abus de droit. S'il a connaissance de l'abus de droit, il ne saurait faire séquestrer à son profit les biens de débiteur qui proviennent du séquestre levé et se trouvent encore à l'office des poursuites.</w:t>
      </w:r>
    </w:p>
    <w:p>
      <w:r>
        <w:t>Regesto Esecuzione del sequestro; art. 2 CC. Neppure un terzo creditore deve poter trarre profitto da un sequestro revocato per abuso di diritto. Ove abbia conoscenza dell'abuso di diritto, egli non può far sequestrare a proprio vantaggio i beni del debitore che erano oggetto del sequestro revocato e che si trovano ancora presso l'ufficio delle esecuzioni.</w:t>
      </w:r>
    </w:p>
    <w:p>
      <w:pPr>
        <w:pStyle w:val="Heading2"/>
      </w:pPr>
      <w:r>
        <w:t>Erwägungen</w:t>
      </w:r>
    </w:p>
    <w:p>
      <w:r>
        <w:rPr>
          <w:b/>
        </w:rPr>
        <w:t>E. 2</w:t>
      </w:r>
    </w:p>
    <w:p>
      <w:r>
        <w:t>Nach der neuern Rechtsprechung ist der allgemeine Grundsatz von Treu und Glauben, den das ZGB in Art. 2 festgehalten hat, auch im Zwangsvollstreckungsverfahren zu beachten ( BGE 105 III 19 mit Hinweisen). Die Auffassung der Rekurrentin, das Bundesgericht wende den Grundsatz von Treu und Glauben im Betreibungs- und Konkursrecht nur mit Zurückhaltung an, ist daher unzutreffend. Vielmehr verdient die Partei, welche die sich aus Art. 2 ZGB ergebenden Regeln verletzt, ohne Rücksicht auf die Interessenlage zwischen Gläubiger und Schuldner keinen Rechtsschutz. Die untere Aufsichtsbehörde hat in ihrem Entscheid den Grundsatz des Handelns nach Treu und Glauben relativ eng ausgelegt. Sie betrachtete einen Verstoss gegen diesen Grundsatz nur dann als gegeben, wenn die Rekurrentin wegen ihrer Beziehungen zur Schweizerischen Kreditanstalt vom Taschenarrest und dessen Rechtswidrigkeit erfahren und nun ihrerseits versucht hätte, daraus für sich einen Vorteil zu ziehen. Rechtsmissbräuchlich wäre der angefochtene Arrest danach nur, wenn er durch ein Zusammenwirken der Schweizerischen Kreditanstalt mit der Rekurrentin ermöglicht worden wäre. Konnte die Rekurrentin indessen aufgrund eigener Recherchen ermitteln, dass sich aus dem aufgehobenen Arrest noch Werte des Arrestschuldners beim Betreibungsamt befinden mussten, so steht nach Auffassung der unteren Aufsichtsbehörde der Verarrestierung dieser Werte auch durch Gläubiger, die um die Rechtswidrigkeit wussten, nichts entgegen. Die Vorinstanz stellt demgegenüber höhere Anforderungen an das Handeln nach Treu und Glauben. Sie ist der Auffassung, dass sich ein Gläubiger, der Werte verarrestieren lässt, die aus einem wegen Rechtsmissbrauch aufgehobenen Arrest stammen und sich noch beim Betreibungsamt befinden, weil sie dem Arrestschuldner noch nicht zurückgegeben werden konnten, in gleicher Weise dem BGE 108 III 119 S. 121 Vorwurf des Rechtsmissbrauchs aussetze wie der frühere Arrestnehmer. Entscheidend sei, dass er von der Aufhebung des früheren Arrestes wegen Rechtsmissbrauchs Kenntnis habe. Damit versuche er nämlich den von einem Dritten geschaffenen rechtswidrigen Zustand auszunützen und verdiene deshalb keinen Rechtsschutz.</w:t>
      </w:r>
    </w:p>
    <w:p>
      <w:r>
        <w:rPr>
          <w:b/>
        </w:rPr>
        <w:t>E. 3</w:t>
      </w:r>
    </w:p>
    <w:p>
      <w:r>
        <w:t>Die Rekurrentin stellt sich auf den Standpunkt, ein rechtswidriger Zustand habe nur bis zum Zeitpunkt ihres Zugriffs auf das Arrestsubstrat bestanden. Diese Auffassung ist jedoch unhaltbar. Da die Rekurrentin in Kenntnis des rechtswidrigen Zustandes gehandelt hat, ist dieser durch den neuen Arrest nicht beseitigt worden. Daran ändert nichts, dass die Rekurrentin völlig unabhängig von der Schweizerischen Kreditanstalt vorgegangen ist. Für die Annahme eines Rechtsmissbrauchs genügt, dass der Rekurrentin bekannt war, dass ein unrechtmässiger Zustand bestehe, und sie aufgrund dieser Kenntnis versucht hat, für sich einen Vorteil zu erlangen. Dabei braucht nicht auf das Immobiliarsachenrecht, namentlich das Prinzip des bösen Glaubens bei abhanden gekommenen Sachen zurückgegriffen zu werden, oder höchstens insoweit, als sich auch daraus die umfassende Bedeutung des Gebots, nach Treu und Glauben zu handeln, ergibt. Im Grunde genommen anerkennt auch die Rekurrentin diesen Grundsatz, sagt sie in der Rekursschrift doch selbst, dass sie auf die Arrestnahme verzichtet hätte, wenn die fraglichen Vermögenswerte sich bereits beim Anwalt des Schuldners befunden hätten. Schliesslich vermag auch der Hinweis auf die Güterabwägung zwischen den Interessen des Gläubigers an der Eintreibung seiner Forderungen und den Absichten des Schuldners, seine Vermögenswerte dem Zugriff der Gläubiger zu entziehen, was im übrigen eine blosse Behauptung darstellt, zu keinem andern Ergebnis zu führen. Die von der Rekurrentin vorgebrachten Einwendungen gegen die Auffassung der Vorinstanz vermögen nach dem Ausgeführten nicht zu überzeugen. Die Vorinstanz hat kein Bundesrecht und insbesondere nicht Art. 2 ZGB verletzt, wenn sie das Verhalten nach Treu und Glauben nach strengeren Kriterien beurteilt hat, als die untere Aufsichtsbehörde dies getan hat. Der angefochtene Entscheid ist daher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