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105</w:t>
      </w:r>
    </w:p>
    <w:p>
      <w:r>
        <w:t>Bundesgericht (BGE), 1982-01-01, DE</w:t>
      </w:r>
    </w:p>
    <w:p>
      <w:r>
        <w:rPr>
          <w:b/>
        </w:rPr>
        <w:t xml:space="preserve">Quelle: </w:t>
      </w:r>
      <w:r>
        <w:t>https://mcp.opencaselaw.ch/entscheid/bge_BGE_108_III_105</w:t>
      </w:r>
    </w:p>
    <w:p>
      <w:r>
        <w:t>FR: ATF 108 III 105</w:t>
      </w:r>
    </w:p>
    <w:p>
      <w:r>
        <w:t>IT: DTF 108 III 105</w:t>
      </w:r>
    </w:p>
    <w:p>
      <w:pPr>
        <w:pStyle w:val="Heading2"/>
      </w:pPr>
      <w:r>
        <w:t>Regeste</w:t>
      </w:r>
    </w:p>
    <w:p>
      <w:r>
        <w:t>Regeste Sicherstellungsverfügung und von der kantonalen Steuerverwaltung erlassener Arrestbefehl für eine auf dem kantonalen Recht beruhende Steuerforderung (Art. 169 und 170 des bündnerischen Steuergesetzes). Eine solche Sicherstellungsverfügung ist insofern unbeachtlich, als sie einem Arrestbefehl im Sinne von Art. 274 SchKG gleichgestellt wird. Ebenso unbeachtlich ist ein durch die kantonale Steuerverwaltung gestützt auf das kantonale Steuergesetz erlassener Arrestbefehl.</w:t>
      </w:r>
    </w:p>
    <w:p>
      <w:r>
        <w:t>Regeste Demande de sûretés et ordonnance de séquestre émises par l'administration d'un canton pour une créance d'impôt fondée sur le droit cantonal (art. 169 et 170 de la loi fiscale du canton des Grisons). Une telle demande de sûretés ne saurait être prise en considération dans la mesure où elle est assimilée à une ordonnance de séquestre au sens de l'art. 274 LP. Ne saurait non plus être prise en considération une ordonnance de séquestre émise par l'administration fiscale d'un canton sur la base de la loi fiscale du canton.</w:t>
      </w:r>
    </w:p>
    <w:p>
      <w:r>
        <w:t>Regesto Richiesta di garanzia e decreto di sequestro emanati dall'amministrazione cantonale delle contribuzioni per una pretesa fiscale fondata sul diritto cantonale (art. 169 e 170 della legge tributaria grigionese). Non può essere tenuto conto di tale richiesta di garanzia, nella misura in cui essa sia assimilata ad un decreto di sequestro ai sensi dell'art. 274 LEF. Né può essere tenuto conto di un ordine di sequestro emanato dall'amministrazione cantonale delle contribuzioni in base ad una legge tributaria del cantone.</w:t>
      </w:r>
    </w:p>
    <w:p>
      <w:pPr>
        <w:pStyle w:val="Heading2"/>
      </w:pPr>
      <w:r>
        <w:t>Erwägungen</w:t>
      </w:r>
    </w:p>
    <w:p>
      <w:r>
        <w:rPr>
          <w:b/>
        </w:rPr>
        <w:t>E. 1</w:t>
      </w:r>
    </w:p>
    <w:p>
      <w:r>
        <w:t>Art. 169 Abs. 1 des bündnerischen Steuergesetzes (StG) bestimmt, dass die kantonale Steuerverwaltung auch vor rechtskräftiger Veranlagung des Steuerbetrages jederzeit Sicherstellung verlangen kann, wenn die geschuldete Steuer durch das Verhalten des Steuerpflichtigen als gefährdet erscheint. Gemäss Art. 170 BGE 108 III 105 S. 106 Abs. 1 StG gilt sodann die Sicherstellungsverfügung als Arrestbefehl im Sinne des Art. 274 SchKG , und Art. 170 Abs. 3 StG erklärt die Arrestaufhebungsklage des Art. 279 SchKG für nicht zulässig. Die Rekurrentin ist der Ansicht, der auf diesen Bestimmungen des kantonalen Steuerrechts beruhende Arrestbefehl sei nichtig, weshalb der Arrestvollzug aufzuheben sei.</w:t>
      </w:r>
    </w:p>
    <w:p>
      <w:r>
        <w:rPr>
          <w:b/>
        </w:rPr>
        <w:t>E. 2</w:t>
      </w:r>
    </w:p>
    <w:p>
      <w:r>
        <w:t>Zwangsvollstreckungen, die auf eine Geldzahlung oder auf eine Sicherheitsleistung in Geld gerichtet sind, werden auf dem Wege der Schuldbetreibung durchgeführt ( Art. 38 Abs. 1 SchKG ). Art. 43 SchKG , der für Leistungen, die im öffentlichen Recht begründet sind, insofern eine Sonderregelung enthält, als die Konkursbetreibung ausgeschlossen wird, erwähnt ausdrücklich auch die Steuern. Die Vorinstanz hält nun allerdings dafür, dass Art. 170 StG durch den Vorbehalt des Art. 44 SchKG gedeckt und deshalb mit dem Bundesrecht nicht unvereinbar sei. Art. 44 SchKG sieht vor, dass die Verwertung von Gegenständen, die auf Grund strafrechtlicher oder fiskalischer Gesetze mit Beschlag belegt sind, nach den zutreffenden eidgenössischen oder kantonalen Gesetzesbestimmungen geschieht. Entgegen der Auffassung der kantonalen Aufsichtsbehörde wird jedoch die Durchsetzung von Steuerforderungen durch diese Bestimmung nicht erfasst. Es geht in Art. 44 SchKG um die Verwertung von ganz bestimmten Gegenständen, nämlich von solchen, die unmittelbar im Zusammenhang mit einem Straf- oder Steuerverfahren nach den betreffenden - eidgenössischen oder kantonalen - Gesetzen beschlagnahmt worden sind (vgl. BGE 101 IV 376 ff.; BGE 89 I 185 ff.; BGE 76 I 28 ff.); eine Betreibung im Sinne des Schuldbetreibungs- und Konkursrechtes findet in diesen Fällen nicht statt. Unter die Bestimmung des Art. 44 SchKG fallen somit Gegenstände, an oder mit denen beispielsweise Übertretungen von Bestimmungen über den Post-, Telegraphen- und Telephonverkehr oder über das Zollwesen begangen worden sind; ferner etwa Gegenstände, welche die zuständige Behörde auf Grund strafprozessualer Bestimmungen zur Deckung von Prozesskosten, Bussen und Strafvollzugskosten mit Beschlag belegt hat (vgl. BGE 101 IV 377 f.; BLUMENSTEIN, Handbuch des Schweizerischen Schuldbetreibungsrechtes, S. 140; FRITZSCHE, Schuldbetreibung und Konkurs, 2. Aufl., I. Band, S. 76, insbesondere N. 125). Die Hinweise der Vorinstanz auf die bundesgerichtliche Rechtsprechung sind unbehelflich. Sie kann für ihren Standpunkt daraus BGE 108 III 105 S. 107 nichts herleiten. BGE 101 IV 371 ff. betraf die strafrechtliche Beschlagnahme von Münzen und Sparheften, an denen ein Retentionsrecht nach kantonalem Recht zur Sicherung von Haftkosten beansprucht wurde. Um die gleiche Frage war es dem Grundsatze nach auch in BGE 89 I 185 ff. und BGE 76 I 28 ff. gegangen. In diesen Entscheiden wurde denn auch gerade der Unterschied zwischen einer Beschlagnahme nach kantonalem Recht und dem Arrest nach Art. 271 ff. SchKG hervorgehoben, welcher allein der Sicherung einer bereits eingeleiteten oder zukünftigen Zwangsvollstreckung einer Geldforderung, somit auch einer Steuerforderung, dient und allein nach Bundesrecht erfolgen kann.</w:t>
      </w:r>
    </w:p>
    <w:p>
      <w:r>
        <w:rPr>
          <w:b/>
        </w:rPr>
        <w:t>E. 3</w:t>
      </w:r>
    </w:p>
    <w:p>
      <w:r>
        <w:t>Zusammenfassend ist festzuhalten, dass Art. 170 StG in einem Gebiet Recht setzt, das ausschliesslich dem Bundesrecht vorbehalten ist. Dass das Bundesrecht selbst (in den Art. 118 und 119 des Bundesratsbeschlusses über die Erhebung einer Wehrsteuer; SR 642.11) eine als Arrestbefehl im Sinne des Art. 274 SchKG ausgestaltete Sicherstellungsverfügung vorsieht, vermag daran nichts zu ändern. Eine bundesrechtliche Sonderregelung ermächtigt die Kantone nicht, ähnliche oder gleiche Sondernormen einzuführen in einem Bereich, dessen Ordnung ausschliesslich Sache des Bundesgesetzgebers ist. Anders wäre es nur, wenn ein klarer Vorbehalt zugunsten der Kantone bestünde. Das trifft aber gerade für Fälle der vorliegenden Art nicht zu. Die auf dem kantonalen Recht beruhende Sicherstellungsverfügung ist nach dem Gesagten insofern unbeachtlich, als sie einem Arrestbefehl gleichgestellt wird. Ebenso unbeachtlich ist der durch die Steuerverwaltung erlassene Arrestbefehl. Der gegenüber der Rekurrentin vollzogene Arrest ist deshalb als nichtig zu erklären. Bei dieser Sachlage braucht die weitere Rüge der Rekurrentin nicht mehr erörtert zu werden, wonach der erwähnte Arrestbefehl hinsichtlich des Inhaltes den Anforderungen von Art. 274 SchKG nicht entspreche.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