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101</w:t>
      </w:r>
    </w:p>
    <w:p>
      <w:r>
        <w:t>Bundesgericht (BGE), 1982-01-01, FR</w:t>
      </w:r>
    </w:p>
    <w:p>
      <w:r>
        <w:rPr>
          <w:b/>
        </w:rPr>
        <w:t xml:space="preserve">Quelle: </w:t>
      </w:r>
      <w:r>
        <w:t>https://mcp.opencaselaw.ch/entscheid/bge_BGE_108_III_101</w:t>
      </w:r>
    </w:p>
    <w:p>
      <w:r>
        <w:t>FR: ATF 108 III 101</w:t>
      </w:r>
    </w:p>
    <w:p>
      <w:r>
        <w:t>IT: DTF 108 III 101</w:t>
      </w:r>
    </w:p>
    <w:p>
      <w:pPr>
        <w:pStyle w:val="Heading2"/>
      </w:pPr>
      <w:r>
        <w:t>Regeste</w:t>
      </w:r>
    </w:p>
    <w:p>
      <w:r>
        <w:t>Regeste Art. 277 SchKG und 2 Abs. 1 ZGB; Arrestierung von Sicherheitsleistungen. Wenn ein Arrest, bei dem im Sinne von Art. 277 SchKG Sicherheit geleistet wurde, hinfällig wird, sind auch die Sicherheiten gegenstandslos und dem Schuldner unverzüglich zurückzuerstatten; ein zweiter Arrest desselben Gläubigers mit Beschlagnahme der geleisteten Sicherheiten, die hätten zurückerstattet werden sollen und sich ohne rechtliche Grundlage noch in den Händen des Betreibungsbeamten befinden, verstösst gegen Treu und Glauben.</w:t>
      </w:r>
    </w:p>
    <w:p>
      <w:r>
        <w:t>Regeste Art. 277 LP et 2 al. 1 CC; séquestre des sûretés. Lorsqu'un séquestre couvert par des sûretés (art. 277 LP) devient caduc, ces dernières sont sans objet et doivent être restituées immédiatement au débiteur; un second séquestre du même créancier portant sur les sûretés qui auraient dû être restituées au débiteur et se trouvent cependant sans raison en mains du préposé est contraire aux règles de la bonne foi.</w:t>
      </w:r>
    </w:p>
    <w:p>
      <w:r>
        <w:t>Regesto Art. 277 LEF, art. 2 cpv. 1 CC; sequestro di una garanzia. Ove venga meno un sequestro per il quale sia stata prestata garanzia ai sensi dell'art. 277 LEF, la garanzia diviene senza oggetto e va restituita immediatamente al debitore; un secondo sequestro da parte dello stesso creditore, avente per oggetto la garanzia che sarebbe dovuta essere restituita al debitore e che si trova senza alcuna base giuridica in possesso dell'ufficiale delle esecuzioni, è contrario alle regole della buona fede.</w:t>
      </w:r>
    </w:p>
    <w:p>
      <w:pPr>
        <w:pStyle w:val="Heading2"/>
      </w:pPr>
      <w:r>
        <w:t>Erwägungen</w:t>
      </w:r>
    </w:p>
    <w:p>
      <w:r>
        <w:rPr>
          <w:b/>
        </w:rPr>
        <w:t>E. 1</w:t>
      </w:r>
    </w:p>
    <w:p>
      <w:r>
        <w:t>En vertu de l' art. 271 al. 1 LP , le créancier d'une dette échue non garantie par gage peut requérir le séquestre des biens du débiteur aux conditions fixées par les ch. 1 à 5 de cette disposition. Par biens du débiteur, il faut entendre les biens saisissables dont notamment une somme d'argent. La particularité du cas d'espèce tient au fait que la somme d'argent séquestrée a servi de sûretés ( art. 277 LP ) lors d'un précédent séquestre qui a été annulé en raison de l'insaisissabilité de son objet. a) Conformément à la doctrine et à la jurisprudence, les sûretés de l' art. 277 LP garantissent uniquement que les biens séquestrés ou des valeurs équivalentes pourront être saisis dans la poursuite consécutive au séquestre ou tomberont dans la masse de l'actif en cas de faillite. La garantie consiste en ce que les sûretés sont destinées à prendre la place des biens séquestrés s'ils ne sont pas représentés en nature ou en valeur lors de la saisie ou à l'ouverture de la faillite. Il s'ensuit que le créancier séquestrant ne peut acquérir plus de droit sur les biens servant de sûretés que sur ceux frappés par le séquestre ( ATF 106 III 132 -133, ATF 82 III 126 ). Si le séquestre devient caduc pour un quelconque motif, les sûretés n'ont plus d'objet et le préposé est tenu de restituer d'office la garantie, comme il aurait dû le faire s'il s'agissait de l'objet même du séquestre ( ATF 106 III 93 ). Dès l'instant que les sûretés entrent à nouveau dans le patrimoine du débiteur, elles peuvent faire l'objet d'une demande d'exécution forcée et notamment d'un séquestre, si les conditions en sont remplies ( art. 271 LP ). BGE 108 III 101 S. 104 b) Les circonstances particulières de l'espèce justifient toutefois une solution différente. En effet, la recourante a requis un second séquestre portant sur les sûretés qui se trouvaient en mains de l'office et auraient dû cependant être restituées au débiteur dès lors qu'elles garantissaient un précédent séquestre devenu caduc. Or, on ne saurait tolérer le séquestre de sûretés dont la présence en mains du préposé de l'Office des poursuites n'était en l'espèce plus justifiée par l'exigence de garantie prévue à l' art. 277 LP . Tout motif de fournir des sûretés avait dès lors disparu et le montant déposé en garantie devait être restitué immédiatement au débiteur ( ATF 106 III 93 ). Il serait en outre contraire au sens de l' art. 277 LP d'interpréter cette disposition à l'encontre du débiteur, dès lors que le but de l' art. 277 LP est précisément d'alléger la situation de ce dernier. De surcroît, on ne saurait non plus admettre que le créancier séquestrant dont le séquestre tombe, puisse tirer profit de la situation qu'il a provoquée, au détriment du débiteur. Une telle pratique serait manifestement incompatible avec l' art. 2 al. 1 CC , d'autant plus que la recourante ne devait pas ignorer que l'Office des poursuites détenait la somme déposée par le débiteur sans aucun fondement, puisque le séquestre était caduc (concernant une application du principe de la bonne foi, en matière de poursuites, cf. ATF 105 III 19 et les arrêts cités).</w:t>
      </w:r>
    </w:p>
    <w:p>
      <w:r>
        <w:rPr>
          <w:b/>
        </w:rPr>
        <w:t>E. 2</w:t>
      </w:r>
    </w:p>
    <w:p>
      <w:r>
        <w:t>a) L'argumentation de la recourante selon laquelle les sûretés de l' art. 277 LP constitueraient une sorte d'accessoire de l'objet du séquestre n'est pas propre à justifier une solution différente. Il est en effet évident que lors même que l'on reconnaîtrait, comme le prétend la recourante, la nature d'accessoire aux sûretés, ces dernières ne pourraient en aucun cas avoir un sort différent de l'objet principal du séquestre, l'invalidité ou la nullité de celui-ci entraînant le même effet sur celles-là. En l'espèce, l'insaisissabilité de l'automobile séquestrée a donc eu pour effet de rendre insaisissable la somme déposée en garantie à l'office. b) Si l'application de l' art. 2 al. 1 CC empêchant le créancier de séquestrer les sûretés déposées à l'office implique certes un désavantage pour le créancier, il convient toutefois de relever que ce dernier jouit, grâce au séquestre, de la possibilité de faire garantir le recouvrement de sa créance sur la base de la simple vraisemblance de celle-ci. Le principe de la bonne foi permet de limiter les effets de cette faveur et de BGE 108 III 101 S. 105 protéger ainsi les droits du débiteur.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