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w:t>
      </w:r>
    </w:p>
    <w:p>
      <w:r>
        <w:t>Bundesgericht (BGE), 1982-01-01, DE</w:t>
      </w:r>
    </w:p>
    <w:p>
      <w:r>
        <w:rPr>
          <w:b/>
        </w:rPr>
        <w:t xml:space="preserve">Quelle: </w:t>
      </w:r>
      <w:r>
        <w:t>https://mcp.opencaselaw.ch/entscheid/bge_BGE_108_III_1</w:t>
      </w:r>
    </w:p>
    <w:p>
      <w:r>
        <w:t>FR: ATF 108 III 1</w:t>
      </w:r>
    </w:p>
    <w:p>
      <w:r>
        <w:t>IT: DTF 108 III 1</w:t>
      </w:r>
    </w:p>
    <w:p>
      <w:pPr>
        <w:pStyle w:val="Heading2"/>
      </w:pPr>
      <w:r>
        <w:t>Regeste</w:t>
      </w:r>
    </w:p>
    <w:p>
      <w:r>
        <w:t>Regeste Art. 17 SchKG; Begriff der Verfügung. Der Abschluss eines Dienstbarkeitsvertrages durch die Konkursverwaltung zulasten eines schuldnerischen Grundstücks stellt keine Verfügung, sondern eine rechtsgeschäftliche Handlung dar, die der Beschwerde an die Aufsichtsbehörde nicht unterliegt.</w:t>
      </w:r>
    </w:p>
    <w:p>
      <w:r>
        <w:t>Regeste Art. 17 LP; notion de mesure. La conclusion par l'administration de la faillite d'un contrat constitutif d'une servitude grevant un fonds du débiteur n'est pas une mesure, mais un acte juridique qui ne peut pas être attaqué par la voie de la plainte à l'autorité de surveillance.</w:t>
      </w:r>
    </w:p>
    <w:p>
      <w:r>
        <w:t>Regesto Art. 17 LEF; nozione di provvedimento. La stipulazione da parte dell'amministrazione del fallimento di un contratto costitutivo di una servitù gravante il fondo del debitore non è un provvedimento, bensì un atto giuridico di natura negoziale che non può essere impugnato con reclamo all'autorità di vigilanza.</w:t>
      </w:r>
    </w:p>
    <w:p>
      <w:pPr>
        <w:pStyle w:val="Heading2"/>
      </w:pPr>
      <w:r>
        <w:t>Erwägungen</w:t>
      </w:r>
    </w:p>
    <w:p>
      <w:r>
        <w:rPr>
          <w:b/>
        </w:rPr>
        <w:t>E. 2</w:t>
      </w:r>
    </w:p>
    <w:p>
      <w:r>
        <w:t>Nach der Rechtsprechung ist der Gemeinschuldner befugt, Verfügungen der Konkursverwaltung und Gläubigerbeschlüsse - namentlich solche über die Verwertung der Aktiven der Konkursmasse sowie über die Erfassung und Sicherung des Konkursvermögens - mit Beschwerde anzufechten, wenn sie in seine rechtlich geschützten Rechte und Interessen eingreifen ( BGE 103 III 23 E. 1, BGE 101 III 44 E. 1, BGE 95 III 28 /29, BGE 94 III 88 /89, BGE 88 III 34 /35 und 77, BGE 85 III 180 ). Der Abschluss der beiden Dienstbarkeitsverträge stellt weder eine Verwertungshandlung dar, noch dient er der Erfassung und Sicherung des Konkursvermögens. Vielmehr handelt es sich dabei lediglich um eine Massnahme zum Zweck der Erhaltung der Massegegenstände im Sinne von Art. 240 SchKG . Man kann sich fragen, ob der Gemeinschuldner auch zur Anfechtung solcher Massnahmen legitimiert ist. Wie es sich damit verhält, kann jedoch dahingestellt bleiben, da der Abschluss der Verträge gar keine Verfügung darstellt, sondern eine rechtsgeschäftliche Handlung, die der Beschwerde an die Aufsichtsbehörden zum vornherein nicht unterliegt ( BGE 102 III 84 E. 5; FRITZSCHE, Schuldbetreibung und Konkurs, 2. Aufl., Bd. I S. 42; vgl. auch JAEGER N. 2 und 4 zu Art. 240 SchKG ). Das Obergericht hätte daher auf die Beschwerde gar nicht eintreten sollen. Im übrigen griffen die Dienstbarkeitsverträge, die sich nach den Feststellungen im angefochtenen Entscheid auf die Erneuerung bereits bestehender Durchleitungsrechte sowie auf das Ausholzen zur Sicherung der Leitungen bezogen und die keine zusätzliche Belastung der Grundstücke bewirkten, nicht in die gesetzlich geschützten Rechte des Rekurrenten ein. Der Konkursverwalter war zum Abschluss der Verträge zweifellos zuständig, ohne der Zustimmung des Rekurrenten oder der Gläubiger zu bedürfen. Über die Opportunität des Vertragsabschlusses hat das Bundesgericht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