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71 vom 1. Januar 1982</w:t>
      </w:r>
    </w:p>
    <w:p>
      <w:r>
        <w:t>Bundesgericht (BGE), 1982-01-01, DE</w:t>
      </w:r>
    </w:p>
    <w:p>
      <w:r>
        <w:rPr>
          <w:b/>
        </w:rPr>
        <w:t xml:space="preserve">Quelle: </w:t>
      </w:r>
      <w:r>
        <w:t>https://mcp.opencaselaw.ch/entscheid/bge_BGE_108_IB_71</w:t>
      </w:r>
    </w:p>
    <w:p>
      <w:r>
        <w:t>FR: BGE BGE 108 IB 71 du 1 janvier 1982</w:t>
      </w:r>
    </w:p>
    <w:p>
      <w:r>
        <w:t>IT: BGE BGE 108 IB 71 del 1 gennaio 1982</w:t>
      </w:r>
    </w:p>
    <w:p>
      <w:pPr>
        <w:pStyle w:val="Heading2"/>
      </w:pPr>
      <w:r>
        <w:t>Regeste</w:t>
      </w:r>
    </w:p>
    <w:p>
      <w:r>
        <w:t>Regeste Überwälzung von Kosten für den Bau von Erschliessungsanlagen auf die Grundeigentümer. 1. Haben sich die Grundeigentümer gegen die Auferlegung von Kosten an Erschliessungsanlagen mit staatsrechtlicher Beschwerde oder mit Verwaltungsgerichtsbeschwerde zur Wehr zu setzen (E. 1)? 2. Das Wohnbau- und Eigentumsförderungsgesetz vom 4. Oktober 1974 (WEG; SR 843) sowie dessen Verordnung vom 20. August 1975 (VWEG; SR 843.1) legen den Rahmen fest, innert welchem den Grundeigentümern die Kosten der sogenannten Grob- und Feinerschliessung ihrer Grundstücke zu überbinden sind; dem kantonalen bzw. dem kommunalen Recht kann in diesem Bereich nur noch die Aufgabe der Feinregulierung der effektiv zu erhebenden Kosten zukommen (E. 2). 3. Das sog. Erschliessungskostenreglement der Gemeinde Alpnach vom 14. Dezember 1973 (ER) hält sich jedenfalls insofern an den vom Bundesrecht gegebenen Rahmen, als es die Kosten der Erschliessungs- und Sammelleitungen vollumfänglich auf die Grundeigentümer abwälzt (E. 3a).</w:t>
      </w:r>
    </w:p>
    <w:p>
      <w:r>
        <w:t>Regeste Frais de construction des installations d'équipement mis à la charge des propriétaires fonciers. 1. Le propriétaire foncier qui conteste les frais d'installations d'équipement mis à sa charge doit-il agir par la voie du recours de droit public ou par celle du recours de droit administratif (consid. 1)? 2. La loi encourageant la construction et l'accession à la propriété de logements du 4 octobre 1974 et l'ordonnance y relative du 20 août 1975 définissent le cadre à l'intérieur duquel les frais d'équipement général et de raccordement sont reportés sur les propriétaires des biens-fonds concernés; le droit cantonal ou communal doit se borner à réglementer dans le détail la façon dont sont répartis les frais effectifs (consid. 2). 3. Les dispositions du règlement relatif aux frais de raccordement de la commune d'Alpnach, du 14 décembre 1973, qui font supporter aux propriétaires fonciers la totalité des frais des conduites de raccordement et des collecteurs s'inscrivent dans le cadre défini par le droit fédéral (consid. 3a).</w:t>
      </w:r>
    </w:p>
    <w:p>
      <w:r>
        <w:t>Regesto Spese di costruzione d'installazioni d'urbanizzazione poste a carico dei proprietari fondiari. 1. Il proprietario fondiario che contesta le spese d'installazioni di urbanizzazione deve agire mediante ricorso di diritto pubblico o mediante ricorso di diritto amministrativo? (consid. 1). 2. La legge federale che promuove la costruzione d'abitazioni e l'accesso alla loro proprietà, del 4 ottobre 1974 (RS 843), e la relativa ordinanza del 20 agosto 1975 (RS 843.1) definiscono il quadro entro il quale le spese d'urbanizzazione generale e particolare sono poste a carico dei proprietari fondiari interessati; al diritto cantonale e comunale compete soltanto di disciplinare in dettaglio la ripartizione delle spese effettive (consid. 2). 3. Le disposizioni del cd. regolamento relativo alle spese d'urbanizzazione del comune di Alpnach, del 14 dicembre 1973, che pongono a carico dei proprietari fondiari la totalità delle spese per le condotte d'allacciamento e dei collettori, non eccedono i limiti stabiliti dal diritto federale (consid. 3a).</w:t>
      </w:r>
    </w:p>
    <w:p>
      <w:pPr>
        <w:pStyle w:val="Heading2"/>
      </w:pPr>
      <w:r>
        <w:t>Erwägungen</w:t>
      </w:r>
    </w:p>
    <w:p>
      <w:r>
        <w:rPr>
          <w:b/>
        </w:rPr>
        <w:t>E. 1</w:t>
      </w:r>
    </w:p>
    <w:p>
      <w:r>
        <w:t>a) Gemäss Art. 84 Abs. 2 OG ist eine staatsrechtliche Beschwerde nur zulässig, wenn die behauptete Rechtsverletzung nicht sonstwie durch Klage oder Rechtsmittel beim Bundesgericht gerügt werden kann. Kann ein letztinstanzlicher kantonaler Entscheid mit Verwaltungsgerichtsbeschwerde angefochten werden, so ist die als staatsrechtliche Beschwerde bezeichnete Eingabe als Verwaltungsgerichtsbeschwerde zu behandeln, mit entsprechend erweiterter Kognition des Bundesgerichtes ( Art. 104 OG ; BGE 102 Ib 68 E. 2b mit Hinweisen). BGE 108 Ib 71 S. 74 Das Bundesgericht beurteilt nach Art. 97 Abs. 1 OG letztinstanzlich Verwaltungsgerichtsbeschwerden gegen Verfügungen im Sinne von Art. 5 VwVG , die von einer in Art. 98 OG aufgezählten Vorinstanz ausgehen und die unter keine der Ausnahmebestimmungen der Art. 99-102 OG fallen. Nach der Begriffsbestimmung des Art. 5 VwVG gelten als Verfügungen "Anordnungen der Behörden im Einzelfall, die sich auf öffentliches Recht des Bundes stützen" oder die - wie das Bundesgericht wiederholt entschieden hat - sich richtigerweise auf öffentliches Recht des Bundes hätten stützen müssen ( BGE 105 Ib 107 E. 1a mit zahlreichen Hinweisen). Verfügungen, die richtigerweise sowohl auf kantonales bzw. kommunales Recht als auch auf Bundesrecht hätten abgestützt werden sollen, können dementsprechend, soweit eine Verletzung von Bundesrecht in Frage steht, mit Verwaltungsgerichtsbeschwerde angefochten werden ( BGE 103 Ib 213 E. 1a, 100 Ib 448 E. 2b mit Hinweisen). Dabei kann mit Verwaltungsgerichtsbeschwerde jede "Verletzung von Bundesrecht" gerügt werden, einschliesslich der Rüge der Verletzung von Bundesverfassungsrecht, soweit diese eine Angelegenheit betrifft, die in die Sachzuständigkeit der eidgenössischen Verwaltungsrechtspflegeinstanz fällt ( BGE 104 Ib 120 E. 1 mit zahlreichen Hinweisen). b) Die Beschwerdeführer haben den Entscheid des Verwaltungsgerichtes mit staatsrechtlicher Beschwerde angefochten und dementsprechend ausschliesslich Verfassungsrügen erhoben. Das Bundesgericht prüft jedoch von Amtes wegen, ob das im einzelnen Fall ergriffene Rechtsmittel zulässig ist. Im übrigen schadet eine unrichtige Rechtsmittelbezeichnung dem Beschwerdeführer nicht, sofern die Eingabe die formellen Anforderungen des zutreffenden Rechtsmittels erfüllt. Die Kostenverteilung beim Bau von Erschliessungsanlagen wird sowohl durch Bundesrecht als auch durch kantonales bzw. kommunales Recht geregelt. Da die Beschwerdeführer nicht eine unrichtige Anwendung des kantonalen oder kommunalen Rechts rügen, was mit staatsrechtlicher Beschwerde geltend zu machen wäre, kann es sich nur noch fragen, ob das Verwaltungsgericht durch seinen Entscheid das Bundesverwaltungsrecht verletzte: Dies ist aber mit Verwaltungsgerichtsbeschwerde geltend zu machen. Inwieweit den von den Beschwerdeführern erhobenen Verfassungsrügen eine selbständige Bedeutung zukommt, ist im Rahmen der materiellen Beurteilung des Falles zu entscheiden. Die Eingabe der Beschwerdeführer erfüllt im übrigen die formellen BGE 108 Ib 71 S. 75 Anforderungen einer Verwaltungsgerichtsbeschwerde. Das Verwaltungsgericht ist eine Vorinstanz im Sinne von Art. 98 lit. g OG ; schliesslich greift vorliegend auch keine Ausnahmevorschrift der Art. 99-102 OG Platz, weshalb die Eingabe des Beschwerdeführers als Verwaltungsgerichtsbeschwerde zu behandeln ist.</w:t>
      </w:r>
    </w:p>
    <w:p>
      <w:r>
        <w:rPr>
          <w:b/>
        </w:rPr>
        <w:t>E. 2</w:t>
      </w:r>
    </w:p>
    <w:p>
      <w:r>
        <w:t>Die Kosten der Feinerschliessung sind ganz oder zum überwiegenden Teil den Grundeigentümern zu überbinden.</w:t>
      </w:r>
    </w:p>
    <w:p>
      <w:r>
        <w:rPr>
          <w:b/>
        </w:rPr>
        <w:t>E. 3</w:t>
      </w:r>
    </w:p>
    <w:p>
      <w:r>
        <w:t>0% an Hauptleitungen" Das Verwaltungsgericht hat die Beitragspflicht der Beschwerdeführer ausschliesslich auf Art. 25 ER gestützt. Es ist zu prüfen, ob sich die angewandte Norm des kommunalen Erschliessungskostenreglementes an den vom Bundesrecht vorgegebenen Rahmen hält. Dies ist zu bejahen. Nach Art. 6 Abs. 1 und 2 WEG in Verbindung mit Art. 5 Abs. 1 und 2 VWEG ist die zuständige öffentlichrechtliche Körperschaft sowohl bei Anlagen der Grob- wie auch der Feinerschliessung berechtigt, die gesamten entstandenen Kosten auf die Grundeigentümer abzuwälzen. Die angewandte Norm verstösst somit nicht gegen das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