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505 vom 1. Januar 1982</w:t>
      </w:r>
    </w:p>
    <w:p>
      <w:r>
        <w:t>Bundesgericht (BGE), 1982-01-01, DE</w:t>
      </w:r>
    </w:p>
    <w:p>
      <w:r>
        <w:rPr>
          <w:b/>
        </w:rPr>
        <w:t xml:space="preserve">Quelle: </w:t>
      </w:r>
      <w:r>
        <w:t>https://mcp.opencaselaw.ch/entscheid/bge_BGE_108_IB_505</w:t>
      </w:r>
    </w:p>
    <w:p>
      <w:r>
        <w:t>FR: BGE BGE 108 IB 505 du 1 janvier 1982</w:t>
      </w:r>
    </w:p>
    <w:p>
      <w:r>
        <w:t>IT: BGE BGE 108 IB 505 del 1 gennaio 1982</w:t>
      </w:r>
    </w:p>
    <w:p>
      <w:pPr>
        <w:pStyle w:val="Heading2"/>
      </w:pPr>
      <w:r>
        <w:t>Regeste</w:t>
      </w:r>
    </w:p>
    <w:p>
      <w:r>
        <w:t>Regeste Nationalstrassenbau; Planänderungsgesuch. Das Einsprache- und Plangenehmigungsverfahren nach Art. 26/27 NSG hat alle Funktionen des enteignungsrechtlichen Einspracheverfahrens im engeren und weiteren Sinne (Art. 35 lit. a und b EntG) zu übernehmen (E. 2). Der von Immissionen Betroffene kann im Einspracheverfahren vom Werkeigentümer verlangen, dass die ohne unverhältnismässige Kosten realisierbaren technischen Vorkehren zur Lärmbekämpfung getroffen werden (E. 3).</w:t>
      </w:r>
    </w:p>
    <w:p>
      <w:r>
        <w:t>Regeste Construction de routes nationales; demande de modification des plans. La procédure d'opposition et d'approbation des plans selon les art. 26/27 LRN doit assumer toutes les fonctions de la procédure d'opposition en matière d'expropriation au sens étroit et au sens large (art. 35 let. a et b LEx) (consid. 2). Le voisin touché par des immissions peut, dans la procédure d'opposition, exiger du propriétaire de l'ouvrage qu'il applique les techniques de lutte antibruit réalisables sans frais excessifs (consid. 3).</w:t>
      </w:r>
    </w:p>
    <w:p>
      <w:r>
        <w:t>Regesto Costruzione di strade nazionali: domanda di modifica dei piani. La procedura d'opposizione e d'approvazione dei piani secondo gli art. 26/27 LSN deve assumere tutte le funzioni della procedura d'opposizione in materia d'espropriazione in senso stretto e largo del termine (art. 35 lett. a e b LEspr) (consid. 2). Il vicino toccato da immissioni può esigere nella procedura d'opposizione che il proprietario dell'opera applichi le techniche destinate a combattere gli inquinamenti acustici, realizzabili senza costi sproporzionati (consid. 3).</w:t>
      </w:r>
    </w:p>
    <w:p>
      <w:pPr>
        <w:pStyle w:val="Heading2"/>
      </w:pPr>
      <w:r>
        <w:t>Erwägungen</w:t>
      </w:r>
    </w:p>
    <w:p>
      <w:r>
        <w:rPr>
          <w:b/>
        </w:rPr>
        <w:t>E. 1</w:t>
      </w:r>
    </w:p>
    <w:p>
      <w:r>
        <w:t>Im angefochtenen Entscheid erklärt der Regierungsrat selbst, den Einsprechern stehe der Weg der Verwaltungsgerichtsbeschwerde ans Bundesgericht offen. Die kantonale Baudirektion stellt die Richtigkeit dieser Rechtsmittelbelehrung in der Beschwerdeantwort in Frage. Zu Unrecht. Umstritten ist im vorliegenden Verfahren eine Ergänzung des Ausführungsprojektes Umfahrung Muri der Nationalstrasse N 6, ein Ergänzungsprojekt, welches von den kantonalen Behörden in Anwendung des Nationalstrassengesetzes erarbeitet und - wenn BGE 108 Ib 505 S. 507 auch verspätet - öffentlich aufgelegt worden ist. Die Beschwerdeführer, deren Legitimation nach Art. 48 VwVG und Art. 103 OG ausser Zweifel steht, machen geltend, das Werk mit den nun zusätzlich angebrachten Vorrichtungen sei Quelle übermässiger Immissionen, für welche ihnen, falls keine weiteren Lärmschutzmassnahmen getroffen würden, eine Enteignungsentschädigung im Sinne von Art. 5, 16 und 19 EntG zustehe. Die Einsprache richtet sich somit gegen eine mögliche Enteignung und kann daher gemäss der Ausnahmebestimmung von Art. 99 lit. c. OG im verwaltungsgerichtlichen Verfahren bis vor Bundesgericht getragen werden ( BGE 99 Ib 204 E. 1, BGE 98 Ib 280 , 428 E. 1, BGE 97 I 579 E. 1b).</w:t>
      </w:r>
    </w:p>
    <w:p>
      <w:r>
        <w:rPr>
          <w:b/>
        </w:rPr>
        <w:t>E. 2</w:t>
      </w:r>
    </w:p>
    <w:p>
      <w:r>
        <w:t>Aus der Beschwerde ergibt sich entgegen der Auffassung des Regierungsrates klar, dass sich die Einsprecher nicht dem bereits vollendeten Bau der Schallschutzwand auf der Westseite der Nationalstrasse widersetzen, sondern um Ergänzung des Projektes durch zusätzliche Schutzvorrichtungen auf deren Ostseite ersuchen. Ein solches Planänderungsgesuch ist an sich zulässig. Zwar ist bei Expropriationen für den Nationalstrassenbau das Einspracheverfahren vom eigentlichen Enteignungsverfahren abgetrennt und durch das Nationalstrassengesetz geregelt ( BGE 106 Ib 21 mit Hinweisen auf weitere Entscheide; BGE 99 Ib 204 ), doch wollte der Gesetzgeber mit dieser aus verfahrensökonomischen Gründen getroffenen Lösung die Privaten zweifellos nicht schlechterstellen als jene, auf welche ausschliesslich die Bestimmungen des Enteignungsgesetzes Anwendung finden (vgl. Botschaft des Bundesrates zum Nationalstrassengesetz BBl 1959 II, S. 125 f.). Das Einsprache- und Plangenehmigungsverfahren gemäss Art. 26 und 27 NSG hat daher alle Funktionen des enteignungsrechtlichen Einspracheverfahrens im engeren und weiteren Sinne (vgl. Art. 35 lit. a und b EntG ) zu übernehmen.</w:t>
      </w:r>
    </w:p>
    <w:p>
      <w:r>
        <w:rPr>
          <w:b/>
        </w:rPr>
        <w:t>E. 3</w:t>
      </w:r>
    </w:p>
    <w:p>
      <w:r>
        <w:t>Die kantonale Behörde wirft die Frage auf, ob und aufgrund welcher Bestimmung der von Immissionen Betroffene vom Werkeigentümer anstelle einer Entschädigung die Ergreifung konkreter Schutzmassnahmen verlangen könne. Ein solcher Anspruch ergibt sich schon aus den allgemeinen Grundsätzen des Enteignungsrechtes: Wenn auch der Anspruch des Nachbarn, übermässige Immissionen abzuwehren ( Art. 684 ZGB ), an sich Gegenstand der Enteignung bilden kann ( Art. 5 EntG ; BGE 106 Ib 244 E. 3 mit zahlreichen Verweisungen), so dürfen doch diese Abwehrrechte vom Werkeigentümer nur unterdrückt werden, wenn und BGE 108 Ib 505 S. 508 soweit dies zur Erreichung des Zweckes notwendig ist ( Art. 1 Abs. 2 EntG ), und ist der Enteigner verpflichtet, die geeigneten Vorrichtungen zu schaffen, um die Öffentlichkeit und die benachbarten Grundstücke gegen Gefahren und Nachteile sicherzustellen, die mit dem Bau und Betriebe seines Unternehmens notwendig verbunden und nicht nach Nachbarrecht zu dulden sind ( Art. 7 Abs. 3 EntG ; vgl. auch Art. 5 Abs. 2 und Art. 42 Abs. 1 NSG ; BGE 104 Ib 355 E. 3b, in ZBl 77/1976 publ. Entscheid vom 3. Dezember 1975 E. 2; HESS, N. 22 zu Art. 7 EntG , LIVER, Die nachbarrechtliche Haftung des Gemeinwesens, ZBJV 99/1963, S. 241 ff., insbesondere 253 f.). Der Werkeigentümer hat daher alle zweckmässigen und ohne unverhältnismässige Kosten realisierbaren technischen Vorkehren zur Lärmbekämpfung zu treffen, bevor er als ultima ratio zur Enteignung schreitet. Dementsprechend ist der Betroffene entgegen der Meinung der kantonalen Instanz nicht auf den Zivilrichter angewiesen, sondern befugt, im Einspracheverfahren um den Bau von Schutzvorrichtungen zu ersuchen ( BGE 107 Ib 389 E. 2a; 96 II 350 ). Die Legitimation des Privaten zur Teilnahme am Plangenehmigungsverfahren ist übrigens - daran darf hier erinnert werden - durch die Einführung von Art. 48 VwVG und die Neufassung von Art. 103 OG beträchtlich erweitert worden (vgl. BGE 108 Ib 245 ff.). Eine nähere Abklärung der sich in diesem Zusammenhang stellenden Fragen erübrigt sich allerdings im vorliegenden Fall, da sich die eingereichte Beschwerde als unbegründet erweist. Insbesondere kann offenbleiben, ob nachträgliche Einsprachen entgegen dem Wortlaut von Art. 39 Abs. 1 EntG , aber wohl im Sinne des Gesetzes, auch nach Ausführung des Werkes noch zulässig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