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489 vom 1. Januar 1982</w:t>
      </w:r>
    </w:p>
    <w:p>
      <w:r>
        <w:t>Bundesgericht (BGE), 1982-01-01, DE</w:t>
      </w:r>
    </w:p>
    <w:p>
      <w:r>
        <w:rPr>
          <w:b/>
        </w:rPr>
        <w:t xml:space="preserve">Quelle: </w:t>
      </w:r>
      <w:r>
        <w:t>https://mcp.opencaselaw.ch/entscheid/bge_BGE_108_IB_489</w:t>
      </w:r>
    </w:p>
    <w:p>
      <w:r>
        <w:t>FR: BGE BGE 108 IB 489 du 1 janvier 1982</w:t>
      </w:r>
    </w:p>
    <w:p>
      <w:r>
        <w:t>IT: BGE BGE 108 IB 489 del 1 gennaio 1982</w:t>
      </w:r>
    </w:p>
    <w:p>
      <w:pPr>
        <w:pStyle w:val="Heading2"/>
      </w:pPr>
      <w:r>
        <w:t>Regeste</w:t>
      </w:r>
    </w:p>
    <w:p>
      <w:r>
        <w:t>Regeste Art. 76 EntG; vorzeitige Besitzeinweisung. Das mit der vorzeitigen Besitzeinweisung verbundene Risiko, bei nachträglicher Gutheissung einer Einsprache den früheren Zustand - ungeachtet des Kostenaufwandes - wiederherstellen zu müssen, trägt ausschliesslich der Enteigner.</w:t>
      </w:r>
    </w:p>
    <w:p>
      <w:r>
        <w:t>Regeste Art. 76 LEx; envoi en possession anticipé. En cas d'envoi en possession anticipé, c'est l'expropriant seul qui supporte le risque de devoir rétablir l'état antérieur - quel qu'en soit le coût - si l'opposition à l'expropriation est finalement admise.</w:t>
      </w:r>
    </w:p>
    <w:p>
      <w:r>
        <w:t>Regesto Art. 76 LEspr; immissione anticipata in possesso. In caso d'immissione anticipata in possesso, incombe al solo espropriante il rischio di dover ripristinare lo stato anteriore, indipendentemente dalle spese relative, qualora l'opposizione all'espropriazione sia in seguito accolta.</w:t>
      </w:r>
    </w:p>
    <w:p>
      <w:pPr>
        <w:pStyle w:val="Heading2"/>
      </w:pPr>
      <w:r>
        <w:t>Erwägungen</w:t>
      </w:r>
    </w:p>
    <w:p>
      <w:r>
        <w:rPr>
          <w:b/>
        </w:rPr>
        <w:t>E. 1</w:t>
      </w:r>
    </w:p>
    <w:p>
      <w:r>
        <w:t>Der Präsident der Schätzungskommission hat im angefochtenen Entscheid zunächst ausgeführt, dass die Entschädigungsforderung auch nach der Besitzergreifung noch ohne Schwierigkeit beurteilt werden könne und somit die in Art. 76 Abs. 4 Satz 1 EntG umschriebene Voraussetzung erfüllt sei. Im weiteren sei auch dargelegt worden, dass dem Unternehmen ohne die vorzeitige Inbesitznahme bedeutende Nachteile entstünden ( Art. 76 Abs. 1 EntG ), und erlitten die Enteigneten durch die Besitzergreifung offensichtlich keine Schäden, die bei nachträglicher Gutheissung ihrer Einsprache nicht wieder gutzumachen wären ( Art. 76 Abs. 4 Satz 2 EntG ). Indessen hat der Kommissions-Präsident präzisiert, dass die Bedingungen für eine vorzeitige Inbesitznahme nur insoweit gegeben seien, als der Bau des Unterführungswerkes selbst und des nördlichen Teils der Habsburgstrasse bis zur Einmündung der Fridolin-Hofer-Strasse in Frage stünde; die Erstellung des südlichen Teils der Gemeindestrasse sei hingegen nicht dringend.</w:t>
      </w:r>
    </w:p>
    <w:p>
      <w:r>
        <w:rPr>
          <w:b/>
        </w:rPr>
        <w:t>E. 2</w:t>
      </w:r>
    </w:p>
    <w:p>
      <w:r>
        <w:t>In ihrer Beschwerde weisen die Enteigneten darauf hin, dass sie in ihrer Einsprache das Enteignungsrecht der SBB bestritten hätten und die vorzeitige Besitzergreifung nicht bewilligt werden dürfe, bevor über die Frage der Legitimation zur Enteignung rechtskräftig entschieden worden sei. Dies trifft jedoch nicht zu. BGE 108 Ib 489 S. 491 Bei der Revision des Enteignungsgesetzes im Jahre 1971 (in Kraft seit 1. August 1972) hat der Gesetzgeber im Bestreben, das Verfahren zu beschleunigen, neu die Möglichkeit der vorzeitigen Besitzeinweisung vor rechtskräftiger Erledigung der Einsprachen geschaffen ( Art. 76 Abs. 4 EntG ; Botschaft des Bundesrates vom 20. Mai 1970 BBl 1970 I S. 1026 f., Kreisschreiben des Bundesgerichtes vom 8. September 1975, publ. in BGE 101 Ib 173 ; vgl. zur alten Regelung HESS, N. 4 zu Art. 76 EntG ). Vorausgesetzt wird einzig, dass bei nachträglicher Gutheissung der Einsprache keine nicht wieder gutzumachenden Schäden entstehen ( Art. 76 Abs. 4 Satz 2 EntG ). Nun hätten im vorliegenden Verfahren, falls den Einsprechern recht gegeben würde, die SBB einzig den früheren Zustand der Wiesenparzelle wieder herzustellen - was ohne weiteres möglich wäre - und den allenfalls durch die Inanspruchnahme der Parzelle entstandenen Schaden zu vergüten. Nicht wieder gutzumachende Nachteile entstünden offensichtlich nicht. Dass sich die Massnahmen zur Wiederherstellung als kostspielig erweisen könnten, ist für die Beschwerdeführer ohne Belang; Art. 76 Abs. 4 Satz 2 EntG schützt nur die Enteigneten, nicht den Enteigner, der allein das mit der Besitzergreifung verbundene Risiko trägt (vgl. nicht publ. Entscheide vom 7. September 1972 i.S. Vérolet und vom 8. Mai 1974 i.S. Stämpfli). Aus dem gleichen Grunde ist auch der Einwand abzuweisen, die Ausführung des Werkes präjudiziere den Entscheid über die Einsprache und das Planänderungsgesuch. Über die Begehren der Einsprecher ist - erstinstanzlich durch das Departement, zweitinstanzlich durch das Bundesgericht - ausschliesslich aufgrund der vorgetragenen rechtlichen Argumente zu befinden, ohne Rücksicht darauf, ob die Bauarbeiten schon in Angriff genommen worden seien oder nicht. Übrigens machen die Beschwerdeführer zu Recht nicht geltend, die Ausnahmebestimmung von Art. 51 EntG hätte Anwendung finden müssen (vgl. BGE 101 Ib 173 ), und bestreiten auch nicht, dass die SBB im Gegensatz zu anderen im öffentlichen Interesse tätigen Unternehmungen das Enteignungsrecht schon von Gesetzes wegen besitzen (Art. 3 des Eisenbahngesetzes; vgl. BGE 105 Ib 202 E. 1e).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