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121 vom 15. Januar 1980</w:t>
      </w:r>
    </w:p>
    <w:p>
      <w:r>
        <w:t>Bundesgericht (BGE), 1980-01-15, FR</w:t>
      </w:r>
    </w:p>
    <w:p>
      <w:r>
        <w:rPr>
          <w:b/>
        </w:rPr>
        <w:t xml:space="preserve">Quelle: </w:t>
      </w:r>
      <w:r>
        <w:t>https://mcp.opencaselaw.ch/entscheid/bge_BGE_108_IB_121</w:t>
      </w:r>
    </w:p>
    <w:p>
      <w:r>
        <w:t>FR: BGE BGE 108 IB 121 du 15 janvier 1980</w:t>
      </w:r>
    </w:p>
    <w:p>
      <w:r>
        <w:t>IT: BGE BGE 108 IB 121 del 15 gennaio 1980</w:t>
      </w:r>
    </w:p>
    <w:p>
      <w:pPr>
        <w:pStyle w:val="Heading2"/>
      </w:pPr>
      <w:r>
        <w:t>Regeste</w:t>
      </w:r>
    </w:p>
    <w:p>
      <w:r>
        <w:t>Regeste Quartierplan. Kriterien für seine rechtliche Qualifikation.</w:t>
      </w:r>
    </w:p>
    <w:p>
      <w:r>
        <w:t>Regeste Plan d'extension partiel. Critères déterminants pour sa qualification juridique.</w:t>
      </w:r>
    </w:p>
    <w:p>
      <w:r>
        <w:t>Regesto Piano di quartiere. Criteri determinanti per la sua qualificazione giuridica.</w:t>
      </w:r>
    </w:p>
    <w:p>
      <w:pPr>
        <w:pStyle w:val="Heading2"/>
      </w:pPr>
      <w:r>
        <w:t>Erwägungen</w:t>
      </w:r>
    </w:p>
    <w:p>
      <w:r>
        <w:rPr>
          <w:b/>
        </w:rPr>
        <w:t>E. 4</w:t>
      </w:r>
    </w:p>
    <w:p>
      <w:r>
        <w:t>b) La recourante soutient qu'il y avait lieu de considérer le plan d'extension partiel du 14 février 1973 comme une décision administrative - et de soumettre dès lors sa modification aux mêmes règles que la révocation d'une telle décision -, et non comme une norme de portée générale, vu le petit nombre de propriétaires concernés et la surface restreinte, légèrement inférieure à un hectare, à laquelle il s'applique. Selon la jurisprudence, ce qui est déterminant pour la qualification du plan dont la modification est envisagée, c'est moins la surface des parcelles concernées par la modification - qui est d'ailleurs loin d'être négligeable en l'occurrence, s'agissant de terrains sis en plein centre d'une agglomération, appartenant de surcroît à cinq propriétaires différents - que le contexte dans lequel s'inscrit cette modification ( ATF 102 Ia 333 consid. 1, ATF 94 I 350 consid. 5; MOOR, Aménagement du territoire et propriété privée, dans RDS 1976, p. 434). Or, dans le cas particulier, la Municipalité de Renens a précisément entrepris la modification de l'ensemble des plans de quartier concernant la commune, afin de tenir compte du changement fondamental intervenu dans les prévisions démographiques et les conceptions en matière d'aménagement du territoire depuis l'époque à laquelle ces plans avaient été adoptés. S'inscrivant dans ce contexte, la modification de plan affectant la recourante doit dès lors être envisagée selon les mêmes critères que ceux qui s'appliquent à la révision des normes de portée générale, et non à la révocation des décisions administratives ( ATF 105 Ia 317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