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38 vom 1. Januar 1982</w:t>
      </w:r>
    </w:p>
    <w:p>
      <w:r>
        <w:t>Bundesgericht (BGE), 1982-01-01, DE</w:t>
      </w:r>
    </w:p>
    <w:p>
      <w:r>
        <w:rPr>
          <w:b/>
        </w:rPr>
        <w:t xml:space="preserve">Quelle: </w:t>
      </w:r>
      <w:r>
        <w:t>https://mcp.opencaselaw.ch/entscheid/bge_BGE_108_IA_38</w:t>
      </w:r>
    </w:p>
    <w:p>
      <w:r>
        <w:t>FR: BGE BGE 108 IA 38 du 1 janvier 1982</w:t>
      </w:r>
    </w:p>
    <w:p>
      <w:r>
        <w:t>IT: BGE BGE 108 IA 38 del 1 gennaio 1982</w:t>
      </w:r>
    </w:p>
    <w:p>
      <w:pPr>
        <w:pStyle w:val="Heading2"/>
      </w:pPr>
      <w:r>
        <w:t>Regeste</w:t>
      </w:r>
    </w:p>
    <w:p>
      <w:r>
        <w:t>Regeste Art. 85 lit. a OG; Ungültigerklärung einer kommunalen Verwaltungsinitiative. 1. Das Bundesgericht prüft die Auslegung kommunalen Rechts, welches den Inhalt der politischen Rechte normiert oder mit diesem in engem Zusammenhang steht, grundsätzlich frei (E. 2). 2. Ungültigerklärung einer Verwaltungsinitiative, obwohl die Gemeindeordnung der Stadt Luzern eine Regelung mit weitgehendem Initiativrecht kennt (E. 3).</w:t>
      </w:r>
    </w:p>
    <w:p>
      <w:r>
        <w:t>Regeste Art. 85 lettre a OJ; déclaration de non-validité d'une initiative administrative en matière communale. 1. Le Tribunal fédéral examine en principe librement l'interprétation du droit communal qui définit le contenu des droits politiques ou qui est en étroite connexité avec lui (consid. 2). 2. Déclaration de non-validité d'une initiative administrative, bien que la ville de Lucerne contienne une réglementation très étendue sur le droit d'initiative (consid. 3).</w:t>
      </w:r>
    </w:p>
    <w:p>
      <w:r>
        <w:t>Regesto Art. 85 lett. a OG; dichiarazione d'invalidità di un'iniziativa amministrativa comunale. 1. Il Tribunale federale esamina in linea di principio liberamente l'interpretazione del diritto comunale che regola il contenuto dei diritti politici o che è ad esso strettamente connesso (consid. 2). 2. Dichiarazione d'invalidità di un'iniziativa amministrativa, benché l'ordinamento comunale della città di Lucerna preveda un diritto d'iniziativa assai esteso (consid. 3).</w:t>
      </w:r>
    </w:p>
    <w:p>
      <w:pPr>
        <w:pStyle w:val="Heading2"/>
      </w:pPr>
      <w:r>
        <w:t>Erwägungen</w:t>
      </w:r>
    </w:p>
    <w:p>
      <w:r>
        <w:rPr>
          <w:b/>
        </w:rPr>
        <w:t>E. 2</w:t>
      </w:r>
    </w:p>
    <w:p>
      <w:r>
        <w:t>Bei Stimmrechtsbeschwerden überprüft das Bundesgericht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es sich jedoch der von der obersten kantonalen Behörde vertretenen Auslegung an ( BGE 105 Ia 82 E. 4 mit Hinweisen). Dies muss analog für die Auslegung des kommunalen Rechts gelten, welches den Inhalt der politischen Rechte normiert oder mit diesem in engem Zusammenhang steht.</w:t>
      </w:r>
    </w:p>
    <w:p>
      <w:r>
        <w:rPr>
          <w:b/>
        </w:rPr>
        <w:t>E. 3</w:t>
      </w:r>
    </w:p>
    <w:p>
      <w:r>
        <w:t>Gegenstand des Initiativrechts kann nach Art. 15 Abs. 1 der Gemeindeordnung der Erlass, die Änderung oder die Aufhebung eines Beschlusses sein, der in die Zuständigkeit der Stimmberechtigten oder des Grossen Stadtrates fällt. Es handelt sich dabei um eine Regelung mit weitestgehendem Initiativrecht, BGE 108 Ia 38 S. 40 welche auch die sogenannte Verwaltungsinitiative umfasst (zur Verwaltungsinitiative vgl. GIACOMETTI, Das Staatsrecht der schweizerischen Kantone, S. 525 ff.; KÖLZ, Die kantonale Volksinitiative in der Rechtsprechung des Bundesgerichts, in ZBl 83/1982 S. 10 ff.; BACHER, Die Volksinitiative nach dem Recht des Kantons Basel-Stadt, Diss. Basel 1953, S. 22). Bei der Initiative "Südzubringer und Nordtangente vors Volk" handelt es sich um eine Verwaltungsinitiative. Sie verlangt vom Grossen Stadtrat den Erlass eines Beschlusses, wonach für bestimmte Strassenprojekte keine Ausgaben, welche in seine Kompetenz fallen, gemacht werden dürfen, bevor das Volk zu diesen Strassenprojekten Stellung genommen hat. An sich könnte der Grosse Stadtrat einen derartigen Beschluss fassen. Daher liegt der Schluss nahe, die Initiative müsse zugelassen werden. Insbesondere kann nicht argumentiert werden, die Initiative sei unzulässig, weil sie einen negativen Beschluss des Grossen Stadtrates fordere, nämlich vor der Durchführung der Volksabstimmung über je einen Gesamt- oder Rahmenkredit für jedes der drei Bauvorhaben keine Teilkredite zu sprechen. Es spricht jedoch ein anderes Argument gegen die Vereinbarkeit der Initiative mit der Gemeindeordnung. Durch die Initiative sollen Ausgabenbeschlüsse betreffend bestimmte projektierte Strassen auf jeden Fall der Volksabstimmung unterstellt werden, im Widerspruch zu den Bestimmungen der Gemeindeordnung, wonach es im Ermessen des Grossen Stadtrates liegt, zu beschliessen, wann er ausnahmsweise Ausgabenbeschlüsse, die an sich dem obligatorischen oder fakultativen Referendum nicht unterstehen, diesem unterstellen will (Art. 13 Abs. 2 und 14 Abs. 2 der Gemeindeordnung). Die Initiative entzieht also dem Grossen Stadtrat ein Feld der freien Ermessensbetätigung, das die Gemeindeordnung ihm einräumt. Wenn die Initianten eine solche Ausnahme zur geltenden Gemeindeordnung verwirklichen wollten, hätten sie eine Initiative auf Änderung der Gemeindeordnung einreichen müssen. Ein Wille der Initianten in diesem Sinne die Gemeindeordnung durch eine Ausnahmebestimmung zu ergänzen, kann jedoch aus dem Initiativtext nicht herausgelesen werden. Deshalb hat der Regierungsrat die Initiative zu Recht für ungültig erklärt, auch wenn die von ihm vorgebrachten Gründe nicht durchwegs zu überzeugen vermögen.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