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203 vom 1. Januar 1982</w:t>
      </w:r>
    </w:p>
    <w:p>
      <w:r>
        <w:t>Bundesgericht (BGE), 1982-01-01, DE</w:t>
      </w:r>
    </w:p>
    <w:p>
      <w:r>
        <w:rPr>
          <w:b/>
        </w:rPr>
        <w:t xml:space="preserve">Quelle: </w:t>
      </w:r>
      <w:r>
        <w:t>https://mcp.opencaselaw.ch/entscheid/bge_BGE_108_IA_203</w:t>
      </w:r>
    </w:p>
    <w:p>
      <w:r>
        <w:t>FR: BGE BGE 108 IA 203 du 1 janvier 1982</w:t>
      </w:r>
    </w:p>
    <w:p>
      <w:r>
        <w:t>IT: BGE BGE 108 IA 203 del 1 gennaio 1982</w:t>
      </w:r>
    </w:p>
    <w:p>
      <w:pPr>
        <w:pStyle w:val="Heading2"/>
      </w:pPr>
      <w:r>
        <w:t>Regeste</w:t>
      </w:r>
    </w:p>
    <w:p>
      <w:r>
        <w:t>Regeste Art. 87, 50 und 57 Abs. 5 OG. Ist gegen einen letztinstanzlichen Zwischenentscheid mit der staatsrechtlichen Beschwerde zugleich eine nach Art. 50 OG zulässige Berufung erhoben worden, so ist auf die Beschwerde gemäss Art. 87 OG einzutreten.</w:t>
      </w:r>
    </w:p>
    <w:p>
      <w:r>
        <w:t>Regeste Art. 87, 50 et 57 al. 5 OJ. Est recevable au sens de l'art. 87 OJ le recours de droit public dirigé contre une décision incidente prise en dernière instance, faisant simultanément l'objet d'un recours en réforme recevable au regard de l'art. 50 OJ.</w:t>
      </w:r>
    </w:p>
    <w:p>
      <w:r>
        <w:t>Regesto Art. 87, 50 e 57 cpv. 5 OG. È ammissibile ai sensi dell'art. 87 OG il ricorso di diritto pubblico proposto contro una decisione incidentale emanata in ultima istanza e impugnata simultaneamente con un ricorso per riforma ammissibile ai sensi dell'art. 50 OG.</w:t>
      </w:r>
    </w:p>
    <w:p>
      <w:pPr>
        <w:pStyle w:val="Heading2"/>
      </w:pPr>
      <w:r>
        <w:t>Erwägungen</w:t>
      </w:r>
    </w:p>
    <w:p>
      <w:r>
        <w:rPr>
          <w:b/>
        </w:rPr>
        <w:t>E. 1</w:t>
      </w:r>
    </w:p>
    <w:p>
      <w:r>
        <w:t>Der angefochtene Entscheid erging wohl letztinstanzlich, er ist aber kein Endentscheid, weil das Obergericht lediglich die Haftung des Beklagten bejaht, ohne zugleich betragsmässig über die Klageforderung zu entscheiden. Es handelt sich demnach um einen letztinstanzlichen Zwischenentscheid, welcher nach Art. 87 OG nur dann mit staatsrechtlicher Beschwerde wegen Verletzung von Art. 4 BV angefochten werden kann, wenn er für den Beschwerdeführer einen nicht wiedergutzumachenden Nachteil zur Folge hat. Diese Einschränkung der Anfechtungsmöglichkeit dient der Prozessökonomie. Sie soll verhindern, dass das kantonale Verfahren unnötig unterbrochen wird; auch soll das Bundesgericht im gleichen Prozess nicht mehrmals angerufen werden können. Der nicht wiedergutzumachende Nachteil, welcher demgegenüber die Anfechtung von Zwischenentscheiden erlaubt, muss nach der Rechtsprechung ein solcher rechtlicher Natur sein; eine nur tatsächliche Beeinträchtigung wie beispielsweise eine Verlängerung oder Verteuerung des Verfahrens genügt nicht ( BGE 106 Ia 228 f., 233 f. mit Hinweisen). Danach wäre die vorliegende Beschwerde nicht zulässig, weil der Beschwerdeführer seine Rügen auch noch im Anschluss an den Endentscheid des Obergerichts erheben könnte. a) Indes ficht der Beschwerdeführer den Zwischenentscheid des Obergerichts zugleich mit Berufung an. Dies ist nach Art. 50 OG zulässig, wenn dadurch sofort ein Endentscheid herbeigeführt und ein so bedeutender Aufwand an Zeit und Kosten für ein weitläufiges Beweisverfahren erspart werden kann, dass die gesonderte Anrufung des Bundesgerichts gerechtfertigt erscheint. Vorliegend sind streitig das Ausmass der unfallbedingten Arbeitsunfähigkeit und der Verdienstausfall des Beschwerdegegners als freiberuflich tätiger Spezialarzt und Leiter einer Arztgehilfinnenschule, wozu beide Parteien sich auf Expertisen berufen. Erfüllt ist auch das BGE 108 Ia 203 S. 205 zweite Erfordernis, indem die Gutheissung der Berufung zur Abweisung der Klage führen könnte. Das setzt indessen, jedenfalls in der Regel, die Behandlung der staatsrechtlichen Beschwerde voraus ( Art. 57 Abs. 5 OG ); dem steht jedoch wie dargelegt die Rechtsprechung zu Art. 87 OG entgegen. b) In diesem offensichtlichen Konflikt verdient Art. 50 OG , der die Anfechtung von Zwischenentscheiden unter bestimmten Voraussetzungen ausdrücklich zulässt, den Vorrang. Es kann nicht angenommen werden, diese Berufungsmöglichkeit entfalle, wenn zugleich staatsrechtliche Beschwerde erhoben ist. Das muss zur Behandlung der staatsrechtlichen Beschwerde führen, sei es, dass in diesen Fällen auf das Erfordernis eines besonders gearteten rechtlichen Nachteils im Sinn der Rechtsprechung verzichtet wird, sei es, dass dieser im Verlust des Berufungsrechts aus Art. 50 OG erblickt wird. Die II. Zivilabteilung des Bundesgerichts, welche in der Sache ebenfalls betroffen ist, hat dieser Betrachtungsweise zugestimmt. Auf die Beschwerde ist deshalb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