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234</w:t>
      </w:r>
    </w:p>
    <w:p>
      <w:r>
        <w:t>Bundesgericht (BGE), 1981-11-24, FR</w:t>
      </w:r>
    </w:p>
    <w:p>
      <w:r>
        <w:rPr>
          <w:b/>
        </w:rPr>
        <w:t xml:space="preserve">Quelle: </w:t>
      </w:r>
      <w:r>
        <w:t>https://mcp.opencaselaw.ch/entscheid/bge_BGE_107_V_234</w:t>
      </w:r>
    </w:p>
    <w:p>
      <w:r>
        <w:t>FR: ATF 107 V 234</w:t>
      </w:r>
    </w:p>
    <w:p>
      <w:r>
        <w:t>IT: DTF 107 V 234</w:t>
      </w:r>
    </w:p>
    <w:p>
      <w:pPr>
        <w:pStyle w:val="Heading2"/>
      </w:pPr>
      <w:r>
        <w:t>Regeste</w:t>
      </w:r>
    </w:p>
    <w:p>
      <w:r>
        <w:t>Regeste Art. 67 Abs. 3 KUVG. Aussergewöhnliche Gefahren: Beteiligung an Raufereien und Schlägereien; Teilnahme und absichtliche Anwesenheit bei Unruhen (Begriff; Bestätigung der Rechtsprechung).</w:t>
      </w:r>
    </w:p>
    <w:p>
      <w:r>
        <w:t>Regeste Art. 67 al. 3 LAMA. Dangers extraordinaires: participation à des rixes et bagarres; participation et présence volontaire à des troubles (définition; confirmation de la jurisprudence).</w:t>
      </w:r>
    </w:p>
    <w:p>
      <w:r>
        <w:t>Regesto Art. 67 cpv. 3 LAMI. Pericoli straordinari: partecipazione a risse o baruffe; partecipazione e presenza intenzionale a tumulti (definizione; conferma della giurisprudenza).</w:t>
      </w:r>
    </w:p>
    <w:p>
      <w:pPr>
        <w:pStyle w:val="Heading2"/>
      </w:pPr>
      <w:r>
        <w:t>Erwägungen</w:t>
      </w:r>
    </w:p>
    <w:p>
      <w:r>
        <w:rPr>
          <w:b/>
        </w:rPr>
        <w:t>E. 1</w:t>
      </w:r>
    </w:p>
    <w:p>
      <w:r>
        <w:t>Aux termes de l' art. 67 al. 3 LAMA , la Caisse nationale peut exclure de l'assurance des accidents non professionnels les dangers extraordinaires et les entreprises téméraires. Par décision du 31 octobre 1967 en vigueur dès le 1er janvier 1968, qui remplace des décisions antérieures libellées de manière analogue en ce qui concerne le risque examiné dans le cadre de la présente affaire, le conseil d'administration a décidé que les dangers extraordinaires suivants étaient notamment exclus de l'assurance des accidents non professionnels: "1. La participation à des rixes et bagarres entre deux ou un plus grand nombre de personnes, à moins qu'il ne soit établi que l'assuré, sans avoir au préalable joué un rôle dans le différend, a été lui-même attaqué par les participants ou blessé en portant secours à autrui;</w:t>
      </w:r>
    </w:p>
    <w:p>
      <w:r>
        <w:rPr>
          <w:b/>
        </w:rPr>
        <w:t>E. 2</w:t>
      </w:r>
    </w:p>
    <w:p>
      <w:r>
        <w:t>(...)</w:t>
      </w:r>
    </w:p>
    <w:p>
      <w:r>
        <w:rPr>
          <w:b/>
        </w:rPr>
        <w:t>E. 3</w:t>
      </w:r>
    </w:p>
    <w:p>
      <w:r>
        <w:t>La recourante n'allègue pas que l'intimé ait participé aux troubles en question. Elle soutient, en revanche, qu'il y fut volontairement présent, ce qui, selon la jurisprudence, suffit à BGE 107 V 234 S. 236 exclure le risque de la couverture d'assurance, car cette exclusion n'est pas nécessairement subordonnée à une attitude téméraire ou répréhensible de l'assuré (spécialement visée d'autre part), ni à la condition qu'il se soit délibérément exposé à un danger, ou qu'il ait eu la prévision, ou même la conscience d'un danger déterminé soit du "danger extraordinaire couru" (fusillade, p.ex.). La preuve de cet élément subjectif (conscience d'un danger déterminé) serait au surplus, presque toujours, extrêmement difficile à fournir et impossible à contrôler. Le danger résulte objectivement et automatiquement de la seule présence. Celle-ci doit simplement être volontaire, c'est-à-dire émaner d'une volonté consciente et libre, s'exerçant sans contrainte morale (menace) ou physique (encerclement dans la foule). Encore faut-il que cette présence soit volontaire par rapport aux troubles eux-mêmes et non seulement par rapport à l'endroit où, à l'insu peut-être de la victime, ils se déroulent. Il est donc nécessaire que celle-ci ait conscience de l'existence de troubles à tel moment et dans tel lieu donné. Il peut, à la vérité, arriver à quelqu'un d'être présent à des troubles, mais de ne prendre conscience de l'existence de ceux-ci qu'au bout d'un certain temps. A partir de ce moment, toutefois, il a le devoir de s'éloigner aussitôt, sous peine d'encourir l'exclusion légale (ATFA 1935 p. 39 consid. 3 et p. 47 consid. 1). Comme l'a encore précisé la jurisprudence, il n'est pas possible de décider d'une manière générale à quelle distance du centre des troubles doit se trouver l'intéressé pour qu'on puisse parler d'une présence à ces derniers. Cela doit être jugé de cas en cas, notamment en fonction de la grandeur du périmètre où se déroule l'action et de l'usage qui est fait des moyens de combat (ATFA 1935 p. 47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