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191</w:t>
      </w:r>
    </w:p>
    <w:p>
      <w:r>
        <w:t>Bundesgericht (BGE), 1981-08-07, DE</w:t>
      </w:r>
    </w:p>
    <w:p>
      <w:r>
        <w:rPr>
          <w:b/>
        </w:rPr>
        <w:t xml:space="preserve">Quelle: </w:t>
      </w:r>
      <w:r>
        <w:t>https://mcp.opencaselaw.ch/entscheid/bge_BGE_107_V_191</w:t>
      </w:r>
    </w:p>
    <w:p>
      <w:r>
        <w:t>FR: ATF 107 V 191</w:t>
      </w:r>
    </w:p>
    <w:p>
      <w:r>
        <w:t>IT: DTF 107 V 191</w:t>
      </w:r>
    </w:p>
    <w:p>
      <w:pPr>
        <w:pStyle w:val="Heading2"/>
      </w:pPr>
      <w:r>
        <w:t>Regeste</w:t>
      </w:r>
    </w:p>
    <w:p>
      <w:r>
        <w:t>Regeste Art. 97 AHVG und 58 VwVG. Während der Rechtsmittelfrist kann die Verwaltung auf eine (unangefochtene) Verfügung zurückkommen, ohne an die für die Wiedererwägung formell rechtskräftiger Verfügungen geltenden Voraussetzungen gebunden zu sein.</w:t>
      </w:r>
    </w:p>
    <w:p>
      <w:r>
        <w:t>Regeste Art. 97 LAVS et 58 PA. Pendant le délai de recours, l'administration peut revenir sur une décision (non attaquée) sans être liée par les conditions mises à la reconsidération d'une décision formellement entrée en force.</w:t>
      </w:r>
    </w:p>
    <w:p>
      <w:r>
        <w:t>Regesto Art. 97 LAVS e 58 PA. Durante il decorso del termine per ricorrere, l'amministrazione può rivedere una decisione non impugnata senza essere vincolata ai presupposti per il riesame di provvedimento cresciuto in forza di cosa giudicata.</w:t>
      </w:r>
    </w:p>
    <w:p>
      <w:pPr>
        <w:pStyle w:val="Heading2"/>
      </w:pPr>
      <w:r>
        <w:t>Erwägungen</w:t>
      </w:r>
    </w:p>
    <w:p>
      <w:r>
        <w:rPr>
          <w:b/>
        </w:rPr>
        <w:t>E. 1</w:t>
      </w:r>
    </w:p>
    <w:p>
      <w:r>
        <w:t>Gemäss einem allgemeinen Grundsatz des Sozialversicherungsrechts kann die Verwaltung eine formell rechtskräftige Verfügung, welche nicht Gegenstand einer materiellen gerichtlichen Beurteilung gebildet hat, in Wiedererwägung ziehen, wenn sie zweifellos unrichtig und ihre Berichtigung von erheblicher Bedeutung ist ( BGE 103 V 128 , BGE 102 V 17 ). Im vorliegenden Fall ist die Verwaltung auf eine Verfügung zurückgekommen, die mangels Ablaufs der Rechtsmittelfrist ( Art. 84 Abs. 1 AHVG in Verbindung mit Art. 69 IVG ) noch nicht in formelle Rechtskraft erwachsen war. Es stellt sich daher die Frage, ob für die Wiedererwägung einer solchen Verfügung die gleichen Voraussetzungen erfüllt sein müssen, wie sie für die Wiedererwägung formell rechtskräftiger Verfügungen Geltung haben. Gemäss einem Beschluss des Gesamtgerichtes ist diese Frage dahingehend zu beantworten, dass die Verwaltung während der Rechtsmittelfrist auf eine (unangefochtene) Verfügung zurückkommen kann, auch wenn diese nicht zweifellos unrichtig und ihre Berichtigung nicht von erheblicher Bedeutung ist. Massgebend hiefür ist, dass der Rechtssicherheit und dem Vertrauensgrundsatz bis zum Eintritt der Rechtskraft der Verfügung nicht die gleiche Bedeutung zukommt wie nach diesem Zeitpunkt. Ferner ist auf die Regelung des Art. 58 VwVG hinzuweisen, wonach die Verwaltung die Verfügung pendente lite abändern kann, ohne an die für die Wiedererwägung formell rechtskräftiger Verfügungen geltenden besonderen Voraussetzungen gebunden zu sein. Es soll damit dem objektiven Recht auf möglichst einfache Weise zur Durchsetzung verholfen werden (vgl. hiezu auch BGE 103 V 107 ). Dieser Gedanke rechtfertigt eine voraussetzungslose Wiedererwägung umso mehr, wenn auf eine noch nicht rechtskräftige, unangefochtene Verfügung zurückgekommen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