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136</w:t>
      </w:r>
    </w:p>
    <w:p>
      <w:r>
        <w:t>Bundesgericht (BGE), 1981-01-01, DE</w:t>
      </w:r>
    </w:p>
    <w:p>
      <w:r>
        <w:rPr>
          <w:b/>
        </w:rPr>
        <w:t xml:space="preserve">Quelle: </w:t>
      </w:r>
      <w:r>
        <w:t>https://mcp.opencaselaw.ch/entscheid/bge_BGE_107_V_136</w:t>
      </w:r>
    </w:p>
    <w:p>
      <w:r>
        <w:t>FR: ATF 107 V 136</w:t>
      </w:r>
    </w:p>
    <w:p>
      <w:r>
        <w:t>IT: DTF 107 V 136</w:t>
      </w:r>
    </w:p>
    <w:p>
      <w:pPr>
        <w:pStyle w:val="Heading2"/>
      </w:pPr>
      <w:r>
        <w:t>Regeste</w:t>
      </w:r>
    </w:p>
    <w:p>
      <w:r>
        <w:t>Regeste Art. 43bis Abs. 1 AHVG, 42 Abs. 2 IVG und 36 Abs. 1 IVV. - Für die Beurteilung der Hilflosigkeit sind sechs Lebensverrichtungen relevant (Erw. 1c). - Die Hilfe ist erheblich, wenn sie bei einer Teilfunktion einer einzelnen Lebensverrichtung erforderlich ist. Die in Rz 298.3 der Wegleitung über Invalidität und Hilflosigkeit genannten Beispiele für die Erheblichkeit in Teilfunktionen sind alternativ zu verstehen; die Beispiele sind nicht abschliessend umschrieben (Erw. 1d). - Aufgabe der mit der Abklärung der Hilflosigkeit betrauten Personen (Arzt bzw. Fürsorgestelle): Diese haben anzugeben, worin die notwendigerweise zu leistende Hilfe besteht. Die Beurteilung der Rechtsfrage der Erheblichkeit ist Sache der Verwaltung bzw. des Richters (Erw. 2b).</w:t>
      </w:r>
    </w:p>
    <w:p>
      <w:r>
        <w:t>Regeste Art. 43bis al. 1 LAVS, 42 al. 2 LAI et 36 al. 1 RAI. - Pour décider s'il y a impotence, il faut considérer six actes ordinaires de la vie (consid. 1c). - L'aide est importante lorsqu'elle est nécessaire pour un aspect de l'un des divers actes ordinaires de la vie. Les exemples donnés sous ch. 298.3 des Directives concernant l'invalidité et l'impotence, pour illustrer la condition d'aide importante, le sont à titre alternatif; ils n'ont pas un caractère exhaustif (consid. 1d). - Devoirs des personnes chargées de déterminer s'il y a impotence (médecin, collaborateurs des services sociaux): ces personnes sont chargées d'indiquer en quoi consiste l'aide accordée de manière régulière. Décider si cette aide est importante est une question de droit qu'il incombe à l'administration, respectivement au juge, de trancher (consid. 2b).</w:t>
      </w:r>
    </w:p>
    <w:p>
      <w:r>
        <w:t>Regesto Art. 43bis cpv. 1 LAVS, 42 cpv. 2 LAI e 36 cpv. 1 OAI. - Per stabilire l'esistenza di grande invalidità devono essere tenuti in considerazione sei atti ordinari della vita (consid. 1c). - L'aiuto è notevole quand'esso è necessario per un aspetto di uno degli atti ordinari della vita. Gli esempi dati alla cifra 298.3 delle Direttive sull'invalidità e sulla grande invalidità per illustrare l'aiuto notevole sono da interpretare in senso alternativo e non hanno carattere esaustivo (consid. 1d). - Compiti delle persone incaricate di stabilire l'esistenza di grande invalidità (medici, collaboratori dei servizi sociali): dette persone sono incaricate di indicare in cosa consista l'aiuto. Decidere se l'aiuto è notevole è questione di diritto di spettanza dell'amministrazione, rispettivamente del giudice (consid. 2b).</w:t>
      </w:r>
    </w:p>
    <w:p>
      <w:pPr>
        <w:pStyle w:val="Heading2"/>
      </w:pPr>
      <w:r>
        <w:t>Erwägungen</w:t>
      </w:r>
    </w:p>
    <w:p>
      <w:r>
        <w:rPr>
          <w:b/>
        </w:rPr>
        <w:t>E. 1</w:t>
      </w:r>
    </w:p>
    <w:p>
      <w:r>
        <w:t>Ankleiden, Auskleiden;</w:t>
      </w:r>
    </w:p>
    <w:p>
      <w:r>
        <w:rPr>
          <w:b/>
        </w:rPr>
        <w:t>E. 2</w:t>
      </w:r>
    </w:p>
    <w:p>
      <w:r>
        <w:t>Aufstehen, Absitzen, Abliegen;</w:t>
      </w:r>
    </w:p>
    <w:p>
      <w:r>
        <w:rPr>
          <w:b/>
        </w:rPr>
        <w:t>E. 3</w:t>
      </w:r>
    </w:p>
    <w:p>
      <w:r>
        <w:t>Essen;</w:t>
      </w:r>
    </w:p>
    <w:p>
      <w:r>
        <w:rPr>
          <w:b/>
        </w:rPr>
        <w:t>E. 4</w:t>
      </w:r>
    </w:p>
    <w:p>
      <w:r>
        <w:t>Körperpflege;</w:t>
      </w:r>
    </w:p>
    <w:p>
      <w:r>
        <w:rPr>
          <w:b/>
        </w:rPr>
        <w:t>E. 5</w:t>
      </w:r>
    </w:p>
    <w:p>
      <w:r>
        <w:t>Verrichten der Notdurft;</w:t>
      </w:r>
    </w:p>
    <w:p>
      <w:r>
        <w:rPr>
          <w:b/>
        </w:rPr>
        <w:t>E. 6</w:t>
      </w:r>
    </w:p>
    <w:p>
      <w:r>
        <w:t>Dezember 1978 vertretenen Auffassung Abstand nahm, wonach die Dritthilfe beim Essen nicht erheblich sei. In diesem Zusammenhang ist ganz allgemein festzustellen, dass es nicht Sache des Arztes (oder einer mit der Abklärung der Verhältnisse betrauten Fürsorgestelle) ist, die Rechtsfrage der Erheblichkeit zu beantworten. Seine Aufgabe besteht vielmehr darin, näher zu umschreiben, worin die von Dritten notwendigerweise zu leistende (direkte oder indirekte) Hilfe in den einzelnen Lebensverrichtungen bzw. deren Teilfunktionen besteht, oder in diesem Sinne von der Verwaltung im Erhebungsformular gestellte konkrete Tatfragen zu beantworten. Sache der Verwaltung (bzw. im Beschwerdefall des Richters) ist es sodann, aufgrund dieser Angaben die Rechtsfrage zu beurteilen, ob die Hilfsbedürftigkeit erheblich ist oder nicht. Im Gegensatz zur Vorinstanz muss die Erheblichkeit der Hilfe vorliegend auch bei der Körperpflege bejaht werden. Es kommt dabei nicht auf eine gesamthafte Betrachtung aller zur Körperpflege gehörenden Teilfunktionen an. Vielmehr ist hier entscheidend, dass als Folge der Inkontinenz eine tägliche Reinigung des Körpers notwendig und dass der Beschwerdeführer dabei auf Dritthilfe angewiesen ist. Ferner ist die Hilfe auch beim Verrichten der Notdurft erheblich, was denn auch nirgends in Zweifel gezogen wird. Bei der sechsten Lebensverrichtung (Fortbewegung im oder ausser Haus, Kontaktaufnahme) ist festzuhalten, dass der Beschwerdeführer wegen der degenerativen Veränderungen der Halswirbelsäule und der dadurch bedingten Schmerzen und Kraftverminderung sich mit dem Rollstuhl nur mühsam vorwärts- und rückwärtsbewegen kann, wobei schon kleine Schwellen und andere Hindernisse Dritthilfe notwendig machen. Da der Beschwerdeführer sich somit nicht selbständig von einem Raum in den andern begeben kann, ist die Hilfe auch hier erheblich. Im Rahmen dieser Lebensverrichtung müsste die Erheblichkeit im übrigen auch schon deshalb bejaht werden, weil ein selbständiges Fortbewegen ausser Haus wohl ausgeschlossen ist. Bei diesem Ergebnis kann offenbleiben, ob der Beschwerdeführer bei der Teilfunktion "Kontaktaufnahme" hilfsbedürftig ist. Es steht damit fest, dass der Beschwerdeführer in allen alltäglichen Lebensverrichtungen regelmässig in erheblicher Weise auf die Hilfe Dritter angewiesen ist. c) Zu prüfen bleibt, ob der Beschwerdeführer auch der dauernden Pflege oder der dauernden persönlichen Überwachung bedarf. BGE 107 V 136 S. 144 Nach der Rechtsprechung genügt dabei schon eine minimale Erfüllung eines dieser zusätzlichen Erfordernisse (vgl. Erw. 1b hievor). Aus den Akten ergibt sich, dass der Beschwerdeführer sich angesichts der Paraplegie und der vollständigen Inkontinenz ohne die Hilfe einer Drittperson nicht mehr zuhause aufhalten könnte. Nach den glaubhaften Angaben in der Verwaltungsgerichtsbeschwerde muss der Beschwerdeführer von seiner Ehefrau nachts alle drei Stunden umgebettet werden, um das Wundwerden zu verhindern. Zudem muss sie täglich mit ihm turnen und seinen Körper nach dem Waschen einfetten. Diese dauernd notwendige Pflege ist ausserordentlich intensiv und übersteigt das im Rahmen des Art. 36 Abs. 1 IVV geforderte Mindestmass bei weitem. Daher ist auch die Voraussetzung der dauernden Pflege erfüllt. d) Zusammenfassend ergibt sich, dass der Beschwerdeführer in schwerem Grade hilflos ist, weshalb ihm eine Hilflosenentschädigung der AHV zusteht. Der Beschwerdeführer verunfallte am 5. Juli 1977 und ist seither schwer hilflos. Die am genannten Tage eröffnete 360tägige Wartezeit endigte demnach Ende Juni 1978. Da somit in diesem Monat sämtliche Voraussetzungen erfüllt waren, ist die Hilflosenentschädigung dem Beschwerdeführer gemäss Art. 43bis Abs. 2 AHVG ab 1. Juni 1978 auszurichten (vgl. Anhang II der Wegleitung über Invalidität und Hilflosigkeit). Es ist Sache der Ausgleichskasse, darüber noch eine Verfügung zu erlassen. Dispositiv Demnach erkennt das Eidg. Versicherungsgericht: In Gutheissung der Verwaltungsgerichtsbeschwerde werden der Entscheid der Rekurskommission Uri für die AHV-IV-EO vom 5. Januar 1979 und die Verfügung der Eidgenössischen Ausgleichskasse vom 19. Oktober 1978 aufgehoben und es wird festgestellt, dass der Beschwerdeführer ab 1. Juni 1978 Anspruch auf eine Hilflosenentschädigung der AHV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