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387 vom 1. Januar 1981</w:t>
      </w:r>
    </w:p>
    <w:p>
      <w:r>
        <w:t>Bundesgericht (BGE), 1981-01-01, DE</w:t>
      </w:r>
    </w:p>
    <w:p>
      <w:r>
        <w:rPr>
          <w:b/>
        </w:rPr>
        <w:t xml:space="preserve">Quelle: </w:t>
      </w:r>
      <w:r>
        <w:t>https://mcp.opencaselaw.ch/entscheid/bge_BGE_107_Ib_387</w:t>
      </w:r>
    </w:p>
    <w:p>
      <w:r>
        <w:t>FR: BGE BGE 107 Ib 387 du 1 janvier 1981</w:t>
      </w:r>
    </w:p>
    <w:p>
      <w:r>
        <w:t>IT: BGE BGE 107 Ib 387 del 1 gennaio 1981</w:t>
      </w:r>
    </w:p>
    <w:p>
      <w:pPr>
        <w:pStyle w:val="Heading2"/>
      </w:pPr>
      <w:r>
        <w:t>Regeste</w:t>
      </w:r>
    </w:p>
    <w:p>
      <w:r>
        <w:t>Regeste Immissionen aus Schiessbetrieb, Zuständigkeit des Zivil- und des Enteignungsrichters. Gehen Immissionen von einem Waffen- oder Schiessplatz aus, für welchen dem Gemeinwesen das eidgenössische Enteignungsrecht zusteht, ist die Durchführung eines Befehls- oder Besitzesschutzverfahrens vor dem Zivilrichter ausgeschlossen, es sei denn, die Lärmeinwirkungen seien nicht notwendige oder doch leicht vermeidbare Folge des Schiessbetriebes. Die Vermeidbarkeit der Immissionen kann nicht darin bestehen, dass die Anlage an sich verlegt werden könnte.</w:t>
      </w:r>
    </w:p>
    <w:p>
      <w:r>
        <w:t>Regeste Emissions provenant d'exercices de tir, compétence du juge civil et du juge de l'expropriation. Si les émissions proviennent d'une place d'armes ou de tir pour laquelle les pouvoirs publics jouissent du droit d'expropriation fédéral, il est exclu de procéder devant le juge civil par requête de mesures provisionnelles ou par une action en protection de la possession, à moins que les émissions de bruit ne soient pas la conséquence nécessaire des exercices de tir ou n'en soient qu'une conséquence facilement évitable. La possibilité d'éviter de telles émissions ne peut pas consister dans le fait que les installations de tir pourraient en soi être déplacées ailleurs.</w:t>
      </w:r>
    </w:p>
    <w:p>
      <w:r>
        <w:t>Regesto Immissioni provenienti da esercizi di tiro, competenza del giudice civile e del giudice dell'espropriazione. Se le immissioni provengono da una piazza d'armi o di tiro per la quale l'ente pubblico dispone del diritto d'espropriazione, è escluso che possa procedersi dinnanzi al giudice civile con una domanda di provvedimenti cautelari o con un'azione possessoria, salvo che le immissioni acustiche non siano una conseguenza necessaria degli esercizi di tiro o ne siano una conseguenza facilmente evitabile. La possibilità di evitare tali immissioni non può consistere nel fatto che le installazioni di tiro potrebbero di per sè essere trasferite altrove.</w:t>
      </w:r>
    </w:p>
    <w:p>
      <w:pPr>
        <w:pStyle w:val="Heading2"/>
      </w:pPr>
      <w:r>
        <w:t>Erwägungen</w:t>
      </w:r>
    </w:p>
    <w:p>
      <w:r>
        <w:rPr>
          <w:b/>
        </w:rPr>
        <w:t>E. 2</w:t>
      </w:r>
    </w:p>
    <w:p>
      <w:r>
        <w:t>Das Obergericht hat im angefochtenen Entscheid festgestellt, dass die Vermeidbarkeit der vom Schiessplatz Eichwald ausgehenden Immissionen nicht glaubhaft gemacht worden sei und der Streitsache daher öffentlichrechtlicher Charakter zukomme. Zu Recht. a) Ergeben sich aus der Art der Nutzung eines Grundstückes übermässige Einwirkungen auf die benachbarten Liegenschaften, so können sich deren Eigentümer gestützt auf Art. 684 ZGB mit den nachbarrechtlichen Klagen im Sinne von Art. 679 ZGB zur Wehr setzen. Gehen allerdings die Immissionen von einem Werk aus, das im öffentlichen Interesse liegt und für welches dem BGE 107 Ib 387 S. 389 Werkeigentümer das eidgenössische Enteignungsrecht zusteht, und lassen sich die Einwirkungen nicht oder nur mit einem unverhältnismässigen Kostenaufwand vermeiden, so werden die Abwehransprüche des Nachbarn zugunsten des vorrangigen öffentlichen Interesses am Werk unterdrückt und stehen den Betroffenen nur noch die Rechte zu, die ihnen das Enteignungsgesetz verleiht ( BGE 106 Ib 244 E. 3, 383; BGE 102 Ib 351 , BGE 100 Ib 195 E. 7a, BGE 96 II 348 f. E. 6, BGE 94 I 297 E. 6, BGE 93 I 300 ff., BGE 79 I 203 , BGE 66 I 140 ff., BGE 62 I 269 , BGE 49 I 387 , BGE 40 II 290 f., BGE 36 I 627 , 34 I 694 f.; vgl. auch LIVER, Die nachbarrechtliche Haftung des Gemeinwesens, ZBJV 99/1963 S. 241 ff. insbes. S. 253 f.). In diesem Falle kann der Grundeigentümer den Zivilrichter einzig dann anrufen, wenn er geltend macht, die Immissionen seien nicht notwendige oder doch leicht vermeidbare Folge der Werkerstellung oder des -betriebes; dagegen kann er nicht verlangen, dass der plan- und bestimmungsgemässe Betrieb der im öffentlichen Interesse liegenden Anlage ganz oder teilweise eingestellt werde. Dies heisst im übrigen nicht, dass sich die Rechte des Betroffenen in jedem Fall darauf beschränkten, für erlittene Nachteile Entschädigung zu fordern. Sind die Voraussetzungen zur Durchführung eines enteignungsrechtlichen Einspracheverfahrens erfüllt, so kann der Enteignete im Rahmen eines Planänderungsbegehrens auch um den Bau von Schutzvorrichtungen ersuchen ( Art. 7 Abs. 3, Art. 30 Abs. 1 lit b und Art. 39 EntG ; HESS, Das Enteignungsrecht des Bundes, N. 35 zu Art. 7 EntG ). b) Der Beschwerdeführer bestreitet nicht, dass der Bau und Betrieb von Waffen- und Schiessplätzen im Interesse des Landes liegt und dem Bund hiefür nach Art. 1, Art. 2 und Art. 3 Abs. 1 EntG das Expropriationsrecht zusteht. Er widerspricht auch der Feststellung des Obergerichtes nicht, wonach auf dem Schiessplatz Eichwald Lärmschutzvorkehren getroffen worden sind und der Schiessbetrieb bzw. der gefechtmässige Einsatz von Handgranaten, ohne das Ausbildungsziel in Frage zu stellen, nicht weiter beschränkt werden könne. Hingegen macht Hossli geltend, die Lärm-Immissionen seien in dem Sinne vermeidbar, als die Ausbildung im Handgranaten-Werfen andernorts stattfinden könne. Ein solches Vorbringen ist aber, wie erwähnt, vor dem Zivilrichter fehl am Platz. Im zivilrechtlichen Prozess ist nur zu prüfen, ob die bestimmungsgemässe Benützung des Schiessplatzes Eichwald zu welcher auch das Handgranaten-Werfen gehört unvermeidbar oder doch kaum vermeidbar mit übermässigen Lärmeinwirkungen BGE 107 Ib 387 S. 390 verbunden sei, nicht dagegen, ob der Übungsbetrieb an diesem Orte ganz oder teilweise aufgegeben und verlegt werden solle. Die Vermeidbarkeit der Immissionen im Sinne der zitierten Rechtsprechung hat mit der Verlegbarkeit des öffentlichen Werkes nichts zu tun. Die Standortwahl für Waffen- und Schiessplätze, um die es hier letztlich geht, ist nicht im zivilen Besitzesschutzverfahren, sondern im hiefür vorgesehenen, vom öffentlichen Recht beherrschten Planungs- und Einspracheverfahren zu treffen. Die vom Beschwerdeführer gegen den angefochtenen Entscheid erhobenen Einwände erweisen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