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112 vom 1. Januar 1981</w:t>
      </w:r>
    </w:p>
    <w:p>
      <w:r>
        <w:t>Bundesgericht (BGE), 1981-01-01, DE</w:t>
      </w:r>
    </w:p>
    <w:p>
      <w:r>
        <w:rPr>
          <w:b/>
        </w:rPr>
        <w:t xml:space="preserve">Quelle: </w:t>
      </w:r>
      <w:r>
        <w:t>https://mcp.opencaselaw.ch/entscheid/bge_BGE_107_Ib_112</w:t>
      </w:r>
    </w:p>
    <w:p>
      <w:r>
        <w:t>FR: BGE BGE 107 Ib 112 du 1 janvier 1981</w:t>
      </w:r>
    </w:p>
    <w:p>
      <w:r>
        <w:t>IT: BGE BGE 107 Ib 112 del 1 gennaio 1981</w:t>
      </w:r>
    </w:p>
    <w:p>
      <w:pPr>
        <w:pStyle w:val="Heading2"/>
      </w:pPr>
      <w:r>
        <w:t>Regeste</w:t>
      </w:r>
    </w:p>
    <w:p>
      <w:r>
        <w:t>Regeste Art. 12 NHG und Art. 33 Abs. 3 lit. a RPG; Legitimation zu kantonalem Rechtsmittel. Die Erfüllung der Planungspflicht nach den Anforderungen des RPG stellt nicht die Erfüllung einer Bundesaufgabe gemäss Art. 2 NHG dar, weshalb eine nach Art. 12 NHG zur eidg. Verwaltungsgerichtsbeschwerde befugte Vereinigung nicht aufgrund von Art. 33 Abs. 3 lit. a RPG zur kantonalrechtlichen Beschwerdeführung gegen auf das RPG gestützte Verfügungen und Nutzungspläne zugelassen werden muss. Der gemäss Art. 33 Abs. 3 RPG gewährleistete Rechtsschutz bezieht sich ferner nur auf Nutzungspläne, die unter der Herrschaft des RPG öffentlich aufgelegt wurden (Art. 33 Abs. 1 RPG).</w:t>
      </w:r>
    </w:p>
    <w:p>
      <w:r>
        <w:t>Regeste Art. 12 LF sur la protection de la nature (LPN) et art. 33 al. 3 let. a LF sur l'aménagement du territoire (LAT); qualité pour former un recours cantonal. L'exécution de l'obligation d'établir des plans selon les exigences de la loi fédérale sur l'aménagement du territoire ne constitue pas l'accomplissement d'une tâche de la Confédération au sens de l'art. 2 LPN; il s'ensuit qu'une association d'importance nationale, dotée par l'art. 12 LPN du droit de former un recours de droit administratif au Tribunal fédéral, ne peut pas invoquer l'art. 33 al. 3 let. a LAT pour justifier sa qualité pour former un recours cantonal contre des décisions et des plans fondés sur la loi fédérale sur l'aménagement du territoire. La protection juridique découlant de l'art. 33 al. 3 LAT ne vise d'ailleurs que les plans d'affectation qui ont été mis à l'enquête publique sous l'empire de la nouvelle loi (art. 33 al. 1 LAT).</w:t>
      </w:r>
    </w:p>
    <w:p>
      <w:r>
        <w:t>Regesto Art. 12 LPN e art. 33 cpv. 3 lett. a della legge federale sulla pianificazione del territorio (LPT). L'esecuzione dell'obligo di allestire piani secondo quanto richiesto dalla LPT non costituisce l'adempimento di un compito della Confederazione ai sensi dell'art. 2 LPN; un'associazione d'importanza nazionale, legittimata in virtù dell'art. 12 LPN a proporre ricorso di diritto amministrativo al Tribunale federale, non può quindi richiamarsi all'art. 33 cpv. 3 lett. a LPT per giustificare una sua legittimazione a ricorrere nella procedura cantonale contro decisioni e piani fondati sulla LPT. La protezione giuridica garantita dall'art. 33 cpv. 3 LPT si riferisce d'altronde solo a piani d'utilizzazione pubblicati sotto l'imperio della LPT (art. 33 cpv. 1 LPT).</w:t>
      </w:r>
    </w:p>
    <w:p>
      <w:pPr>
        <w:pStyle w:val="Heading2"/>
      </w:pPr>
      <w:r>
        <w:t>Erwägungen</w:t>
      </w:r>
    </w:p>
    <w:p>
      <w:r>
        <w:rPr>
          <w:b/>
        </w:rPr>
        <w:t>E. 2</w:t>
      </w:r>
    </w:p>
    <w:p>
      <w:r>
        <w:t>Zur staatsrechtlichen Beschwerde sind die Beschwerdeführer gemäss Art. 88 OG befugt, soweit sie geltend machen, das Verwaltungsgericht habe in willkürlicher, gegen Art. 4 BV verstossender Weise ihre Beschwerdebefugnis verneint. Träfe dies zu, so bedeutete der angefochtene Nichteintretensentscheid eine formelle Rechtsverweigerung. Soweit die Beschwerdeführer darüber hinaus eine Verletzung der Art. 24sexies und septies BV geltend machen, ist auf ihre Beschwerden nicht einzutreten, da diese beiden Verfassungsbestimmungen Kompetenznormen darstellen, die den Beschwerdeführern keine verfassungsmässigen Rechte gewähren. a) Das Verwaltungsgericht sprach der Schweiz. Stiftung für Landschaftsschutz und Landschaftspflege (SL) die Legitimation in erster Linie deswegen ab, weil sie sich am vorinstanzlichen Verfahren nicht beteiligt habe und nach kantonalem Verfahrensrecht keinen Anspruch auf Nebenintervention besitze. Mit dieser Hauptbegründung setzt sich die SL vor Bundesgericht entgegen der Anforderung von Art. 90 Abs. 1 lit. b OG in keiner Weise auseinander; insbesondere tut sie nicht dar, dass die Auffassung des Verwaltungsgerichts unhaltbar wäre. Der staatsrechtlichen Beschwerde der SL kann daher schon aus diesem Grunde kein Erfolg beschieden sein. Im weiteren hält die von der SL einzig beanstandete Eventualbegründung des Verwaltungsgerichts, wonach die SL auch grundsätzlich zur kantonalen Verwaltungsgerichtsbeschwerde nicht befugt wäre, einer Überprüfung stand: Die SL beruft sich zur Begründung ihrer Legitimation im kantonalen Verfahren auf ihren statutarischen Zweck sowie auf Art. 12 NHG in Verbindung mit Art. 33 Abs. 3 lit. a RPG . Dass die SL eine Vereinigung im Sinne des Art. 12 Abs. 1 NHG ist, hat das Bundesgericht anerkannt ( BGE 98 Ib 494 E. 1a). Doch bezieht sich das Beschwerderecht, wie das Verwaltungsgericht zutreffend ausführt, auf die in Art. 12 NHG genannten bundesrechtlichen Rechtsmittel, nicht auf die nach kantonalem Recht gegebenen Beschwerdemöglichkeiten. Zudem bezieht sich die BGE 107 Ib 112 S. 114 Legitimation der gesamtschweizerischen Vereinigungen nur auf Verfügungen, die in Erfüllung von Bundesaufgaben ergehen und bei denen gemäss den Art. 2 ff. NHG die Interessen des Natur- und Heimatschutzes zu wahren sind ( BGE 100 Ib 450 E. 3b und c; BGE 104 Ib 383 E. 3a; Urteil WWF vom 29. September 1978, ZBl 80/1979 S 27 E. 2b). Die SL beruft sich indessen auf die Ziele und Planungsgrundsätze des am 1. Januar 1980 in Kraft getretenen eidg. RPG. Die Beachtung dieser Grundsätze wird nach ihrer Auffassung nur ermöglicht, wenn die kantonalen Behörden einschliesslich der Verwaltungsgerichte auf Beschwerden der gesamtschweizerischen Vereinigungen eintreten müssten. Die Raumplanung im Sinne der Richt- und Nutzungsplanung bleibt indessen eigenständige Aufgabe der Kantone, auch wenn diese die Ziele und Planungsgrundsätze des RPG zu beachten haben ( Art. 22quater Abs. 1 BV ; Art. 2, 6 ff. und 14 ff. RPG ). Die Erfüllung der Planungspflicht nach den Anforderungen des RPG stellt ebensowenig die Erfüllung einer Bundesaufgabe im Sinne des ersten Abschnittes des NHG dar wie die frühere Anwendung des BMR ( BGE 104 Ib 383 E. 2b, mit Verweisung). Der bundesrechtliche Rechtsschutz des Art. 34 RPG bestätigt dieses Ergebnis. Danach ist die Verwaltungsgerichtsbeschwerde an das Bundesgericht nur zulässig gegen Entscheide letzter kantonaler Instanzen über Entschädigungen als Folge von Eigentumsbeschränkungen (Art. 5) und über Bewilligungen im Sinne von Art. 24 RPG . Gegenüber anderen Entscheiden letzter kantonaler Instanzen bleibt nur die staatsrechtliche Beschwerde vorbehalten ( Art. 34 Abs. 3 RPG ). Der SL vermag daher die Berufung auf Art. 33 Abs. 3 lit. a RPG , wonach das kantonale Recht die Legitimation zur Beschwerdeführung gegen Verfügungen und Nutzungspläne, die sich auf das RPG stützen, mindestens im gleichen Umfange wie für die Verwaltungsgerichtsbeschwerde an das Bundesgericht zu gewährleisten hat, nicht zu helfen, obschon diese Vorschrift ebenfalls für Entscheide gilt, die nur mit staatsrechtlicher Beschwerde an das Bundesgericht weitergezogen werden können (FRITZ GYGI, Der Rechtsschutz, in: Das BG über die Raumplanung, Berner Tage für die juristische Praxis 1980, S. 69). Die Genehmigung des Gestaltungsplanes Hostatt/Mettlen gestützt auf das einschlägige Recht des Kantons und der Gemeinde stellt, auch wenn dieser Plan begrifflich als Nutzungsplan im Sinne des Art. 14 RPG zu bezeichnen ist, nicht die Erfüllung einer Bundesaufgabe gemäss dem 1. Titel des NHG dar. BGE 107 Ib 112 S. 115 Abgesehen hievon erfolgten die Genehmigung des Gestaltungsplanes und dessen Anfechtung durch die SL mit kantonaler Verwaltungsgerichtsbeschwerde, als das Raumplanungsgesetz noch nicht in Kraft stand. Die bundesrechtlichen Mindestvorschriften für den Rechtsschutz, den das kantonale Recht zu gewährleisten hat, gelten für Nutzungspläne, welche gemäss Art. 33 Abs. 1 RPG öffentlich aufgelegt werden müssen. Sie gelten somit lediglich für die unter der Herrschaft des Gesetzes aufgelegten Pläne, nicht jedoch für Pläne, deren Festsetzung sich ausschliesslich nach kantonalem Recht richtete. Die Regel, wonach es genügt, dass die Prozessvoraussetzungen, zu denen die Rechtsmittellegitimation zählt, im Zeitpunkt des Urteils erfüllt sind (FRITZ GYGI, Bundesverwaltungsrechtspflege, S. 62 Ziff. 4), kommt aus diesem Grunde entgegen der Auffassung des Bundesamtes für Raumplanung nicht zum Zuge. Die Beschwerde der SL erweist sich somit unter allen Gesichtspunkten als unbegründet. Das Verwaltungsgericht hat zu Recht ihre Legitimation verneint. Dass ihr das kantonale Recht entgegen der Auffassung des Gerichts die Legitimation zur Anfechtung von Gestaltungsplänen einräumen würde, macht sie mit Grund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