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w:t>
      </w:r>
    </w:p>
    <w:p>
      <w:r>
        <w:t>Bundesgericht (BGE), 1981-01-01, DE</w:t>
      </w:r>
    </w:p>
    <w:p>
      <w:r>
        <w:rPr>
          <w:b/>
        </w:rPr>
        <w:t xml:space="preserve">Quelle: </w:t>
      </w:r>
      <w:r>
        <w:t>https://mcp.opencaselaw.ch/entscheid/bge_BGE_107_IV_9</w:t>
      </w:r>
    </w:p>
    <w:p>
      <w:r>
        <w:t>FR: ATF 107 IV 9</w:t>
      </w:r>
    </w:p>
    <w:p>
      <w:r>
        <w:t>IT: DTF 107 IV 9</w:t>
      </w:r>
    </w:p>
    <w:p>
      <w:pPr>
        <w:pStyle w:val="Heading2"/>
      </w:pPr>
      <w:r>
        <w:t>Regeste</w:t>
      </w:r>
    </w:p>
    <w:p>
      <w:r>
        <w:t>Regeste Art. 29 StGB. Strafantragsfrist bei Auskunftsverweigerung nach Art. 24 lit. e MSchG.</w:t>
      </w:r>
    </w:p>
    <w:p>
      <w:r>
        <w:t>Regeste Art. 29 CP. Délai pour porter plainte en cas de refus de déclarer la provenance au sens de l'art. 24 lit. e LMF.</w:t>
      </w:r>
    </w:p>
    <w:p>
      <w:r>
        <w:t>Regesto Art. 29 CP. Termine per presentare querela in caso di rifiuto d'indicare la provenienza di prodotti o di merci ai sensi dell'art. 24 lett. e LMF.</w:t>
      </w:r>
    </w:p>
    <w:p>
      <w:pPr>
        <w:pStyle w:val="Heading2"/>
      </w:pPr>
      <w:r>
        <w:t>Erwägungen</w:t>
      </w:r>
    </w:p>
    <w:p>
      <w:r>
        <w:rPr>
          <w:b/>
        </w:rPr>
        <w:t>E. 1</w:t>
      </w:r>
    </w:p>
    <w:p>
      <w:r>
        <w:t>a) Gemäss Art. 24 lit. e MSchG kann auf Antrag bestraft werden, "wer sich weigert, die Herkunft von in seinem Besitz befindlichen Erzeugnissen oder Waren anzugeben, welche nachgemachte, nachgeahmte oder rechtswidrigerweise angebrachte Marken tragen". Infolge des Strafrahmens von Busse bis Fr. 2'000.-- und Gefängnis bis zu einem Jahr ( Art. 25 MSchG ) ist diese Markenrechtsverletzung ein Vergehen ( Art. 9 Abs. 2 StGB ), und soweit allgemeine Bestimmungen im MSchG fehlen, gelten jene des Strafgesetzbuches ( Art. 333 StGB ). Da das Markenschutzgesetz keine Regelung des Strafantrags enthält, sind Art. 28-31 StGB anwendbar. Ein Strafantrag ist gemäss Art. 29 StGB binnen einer Frist von drei Monaten zu stellen, die mit dem Tage beginnt, an welchem dem Antragsberechtigten der Täter und die Tat bekannt werden ( BGE 101 IV 116 ). b) Der in Art. 24 lit. e MSchG unter Strafe gestellte Tatbestand besteht in der Verletzung der Auskunftspflicht bzw. in der Weigerung, die Herkunft der Ware anzugeben, wobei die Tat im Augenblick dieser Weigerung vollendet ist (DAVID, Kommentar zum MSchG, 2. Aufl. N. 42 zu Art. 24, N. 32 zu Art. 28). Wenn wie hier der Gesetzgeber das Verhalten, dessen Unterlassung mit Strafe bedroht ist, nennt, liegt ein sog. echtes Unterlassungsdelikt vor, bei dem die Verfolgungsverjährung an dem Tage zu laufen beginnt, an welchem oder bis zu welchem der Täter hätte handeln sollen (SCHULTZ, Allg. Teil des Strafrechts, 3. Aufl. I S. 117, 227 mit Verweisungen).</w:t>
      </w:r>
    </w:p>
    <w:p>
      <w:r>
        <w:rPr>
          <w:b/>
        </w:rPr>
        <w:t>E. 2</w:t>
      </w:r>
    </w:p>
    <w:p>
      <w:r>
        <w:t>Nach der durch Aufnahme in die Erledigungsverfügung in Rechtskraft erwachsenen Verpflichtung zur Auskunftserteilung hatte Daniel Beck bis 25. November 1977 schriftlich die genaue Adresse des Lieferanten bekanntzugeben. Aus verschiedenen Sachverhalten verdichtete sich bei der Geschädigten der Verdacht spätestens am 23. März 1978 zur Gewissheit, dass die von Beck mit Schreiben vom 30. November 1977 bekanntgegebene Herkunftsangabe wissentlich unwahr sei, mithin die Angabe verweigert werde. Die Feststellungen der Vorinstanz über den für den Beginn des Fristenlaufes massgeblichen Zeitpunktes der Kenntnis von Tat und Täter bei der Strafantragsberechtigten sind, weil tatsächlicher Natur, für den Kassationshof gemäss Art. 277bis BStP verbindlich. Der Tatbestand der Auskunftsverweigerung gemäss Art. 24 lit. e BGE 107 IV 9 S. 11 MSchG kann ausdrücklich oder durch konkludentes Verhalten erfüllt werden (BLUM/PEDRAZZINI, Das schweiz. Patentrecht, 2. Aufl. Bd. III S. 466 lit. e zu Art. 66 PatG ). Wissentlich wahrheitswidrige Herkunftsangabe stellt ein konkludentes Verhalten der Auskunftsverweigerung dar bzw. lässt den zwingenden Schluss auf deren Verweigerung zu. Indem der Auskunftspflichtige auf mehrere Aufforderungen der Auskunftsberechtigten hin auf seiner ursprünglichen falschen Herkunftsangabe beharrte und sie durch seinen Anwalt bestätigen liess, setzte er weder neue Tathandlungen wie bei fortgesetzter Begehung (fortgesetztes Delikt) noch bewirkte er ein Aufrechterhalten eines strafbaren Erfolges (Dauerdelikt), sondern erinnerte bloss an seine bereits begangene, durch ihre Konkretisierung in sich abgeschlossene Tat. Die Meinung der Beschwerdeführerin, die Strafantragsfrist könne erst nach Beendigung des rechtswidrigen Zustandes, der nach wie vor durch Nichterfüllen der Auskunftspflicht fortbestehe, zu laufen beginnen, ist unzutreffend, weil gemäss Art. 24 lit. e MSchG die Tat im Augenblick der Weigerung vollendet ist. Die Auffassung der Beschwerdeführerin hätte zur Folge, dass das Antragsrecht beim Delikt der Auskunftsverweigerung praktisch nicht verwirken könnte; denn durch eine neue Aufforderung an den sich Weigernden liesse sich jederzeit ein neuer, auf Antrag verfolgbarer Straftatsbestand herbeiführen. Da die Beschwerdeführerin innert drei Monaten seit der Kenntnis von der Weigerung, den Lieferanten der Dior-Halstücher bekanntzugeben, keinen Strafantrag stellte, verwirkte ihr Strafverfolgungsanspruch.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