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77</w:t>
      </w:r>
    </w:p>
    <w:p>
      <w:r>
        <w:t>Bundesgericht (BGE), 1981-01-01, DE</w:t>
      </w:r>
    </w:p>
    <w:p>
      <w:r>
        <w:rPr>
          <w:b/>
        </w:rPr>
        <w:t xml:space="preserve">Quelle: </w:t>
      </w:r>
      <w:r>
        <w:t>https://mcp.opencaselaw.ch/entscheid/bge_BGE_107_IV_77</w:t>
      </w:r>
    </w:p>
    <w:p>
      <w:r>
        <w:t>FR: ATF 107 IV 77</w:t>
      </w:r>
    </w:p>
    <w:p>
      <w:r>
        <w:t>IT: DTF 107 IV 77</w:t>
      </w:r>
    </w:p>
    <w:p>
      <w:pPr>
        <w:pStyle w:val="Heading2"/>
      </w:pPr>
      <w:r>
        <w:t>Regeste</w:t>
      </w:r>
    </w:p>
    <w:p>
      <w:r>
        <w:t>Regeste Art. 264 BStP, Art. 351 StGB. Vorläufige Abweisung des Gesuchs um Gerichtsstandsfestsetzung, wenn es an den für den Entscheid darüber notwendigen Grundlagen gebricht. Pflicht eines jeden beteiligten Kantons, die sein Gebiet betreffenden Tatsachen soweit zu erforschen, als es für den Entscheid der Anklagekammer des Bundesgerichts nötig ist.</w:t>
      </w:r>
    </w:p>
    <w:p>
      <w:r>
        <w:t>Regeste Art. 264 PPF, art. 351 CP. Rejet provisoire d'une requête en désignation du for, lorsque les éléments nécessaires pour statuer font défaut. Devoir de chacun des cantons impliqués de réunir les éléments de fait relevant de sa compétence d'une manière suffisante pour que la décision de la Chambre d'accusation puisse être rendue.</w:t>
      </w:r>
    </w:p>
    <w:p>
      <w:r>
        <w:t>Regesto Art. 264 PP, art. 351 CP. Rigetto provvisorio di una domanda di designazione del foro competente quando manchino gli elementi necessari per decidere. Obbligo di ognuno dei Cantoni interessati di acclarare i fatti relativi al proprio ambito territoriale in modo sufficiente perché la Camera d'accusa del Tribunale federale possa pronunciarsi.</w:t>
      </w:r>
    </w:p>
    <w:p>
      <w:pPr>
        <w:pStyle w:val="Heading2"/>
      </w:pPr>
      <w:r>
        <w:t>Erwägungen</w:t>
      </w:r>
    </w:p>
    <w:p>
      <w:r>
        <w:rPr>
          <w:b/>
        </w:rPr>
        <w:t>E. 1</w:t>
      </w:r>
    </w:p>
    <w:p>
      <w:r>
        <w:t>B. fallen nach der vorläufigen Aktenlage strafbare Handlungen zur Last, die er teils vor, teils nach dem zurückgelegten 18. Altersjahr begangen hat. Nach Art. 1 Abs. 2 VStGB (1) ist in einem solchen Fall grundsätzlich das Verfahren gegen Erwachsene anwendbar. Wird jedoch die Untersuchung vor dem zurückgelegten 20. Altersjahr des Täters eingeleitet und bedarf er voraussichtlich einer Massnahme des Jugendrechtes, so kann das Verfahren gegen Jugendliche angewendet werden. Entsprechend richtet sich die örtliche Zuständigkeit als eine Verfahrensfrage im ersteren Fall nach den Bestimmungen der Art. 346-350 StGB , im letzteren nach Art. 372 StGB . Indem der Bundesrat in Art. 1 Abs. 2 Satz 2 VStGB (1) die Anwendung des jugendrechtlichen Verfahrens in eine Kann-Vorschrift gefasst hat, hat er klarerweise der Berücksichtigung von Zweckmässigkeitsgründen den Weg geöffnet, wie sie auch der Rechtsprechung der Anklagekammer zugrundelagen, die jener gesetzlichen Ordnung vorausgegangen war ( BGE 96 IV 23 ).</w:t>
      </w:r>
    </w:p>
    <w:p>
      <w:r>
        <w:rPr>
          <w:b/>
        </w:rPr>
        <w:t>E. 2</w:t>
      </w:r>
    </w:p>
    <w:p>
      <w:r>
        <w:t>Im vorliegenden Fall ist die Untersuchung vor dem zurückgelegten 18. Altersjahr des B. eingeleitet worden. Es stellt sich deshalb die Frage, ob er voraussichtlich einer Massnahme des Jugendrechts bedürfe oder ob eine Strafe oder eine Massnahme des Erwachsenenrechtes Platz greifen solle. Die vorläufige Prüfung dieser Frage durch die Anklagekammer - der endgültige Entscheid muss dem Sachrichter vorbehalten bleiben - setzt indessen voraus, dass die Aktenlage im Zeitpunkt des Gerichtsstandsverfahrens zureichend Aufschluss gebe über das Verhalten des Täters vor und nach dem 18. Altersjahr, über seine Erziehung, seine Lebensverhältnisse und seinen körperlichen und geistigen Zustand (analog Art. 90 StGB ). Nur wenn diese Entscheidungsgrundlagen vorliegen, kann darüber befunden werden, ob der Täter voraussichtlich einer Massnahme des Jugendrechtes oder einer Sanktion des Erwachsenenstrafrechts BGE 107 IV 77 S. 80 bedarf. Welcher Kanton diese Untersuchung durchzuführen hat, sagt freilich Art. 1 VStGB (1) nicht. Grundsätzlich muss gelten, dass - solange die Frage der Zuständigkeit offen oder streitig ist - jeder Kanton verpflichtet bleibt, die sein Gebiet betreffenden Tatsachen soweit zu erforschen, als es der Entscheid über den Gerichtsstand erfordert ( BGE 94 IV 47 ). Hat der Täter im Kanton, in dem er seinen Wohnsitz hat oder sich dauernd aufhält, strafbare Handlungen begangen, so wird es vor allem an den Behörden dieses Kantons sein, die persönlichen Verhältnisse des Täters abzuklären (analog Art. 372 StGB ).</w:t>
      </w:r>
    </w:p>
    <w:p>
      <w:r>
        <w:rPr>
          <w:b/>
        </w:rPr>
        <w:t>E. 3</w:t>
      </w:r>
    </w:p>
    <w:p>
      <w:r>
        <w:t>Im vorliegenden Fall gebricht es an den zur Entscheidung der Gerichtsstandsfrage notwendigen Grundlagen. Zwar scheint die Jugendanwaltschaft Bülach das von ihr bezüglich der von B. vor dem 18. Altersjahr verübten strafbaren Handlungen eingeleitete Verfahren abgeschlossen zu haben, ohne dass indessen den Akten zu entnehmen wäre, dass sie die seinerzeit für nötig erachtete abschliessende Begutachtung des Täters namentlich auch hinsichtlich seiner Massnahmebedürftigkeit nachgeholt hätte. Zudem sind auch die von B. nach dem 18. Altersjahr begangenen strafbaren Handlungen ungenügend abgeklärt und bedürfen der weiteren Untersuchung, deren Ergebnisse für die Beurteilung der Täterpersönlichkeit unerlässlich und insbesondere auch für eine möglicherweise notwendige Begutachtung des B. abzuwarten sind. Die beteiligten Kantone werden deshalb ein jeder die sein Gebiet betreffenden und für die Bestimmung des Gerichtsstandes erforderlichen Tatsachen abklären und sich sodann miteinander über eine Regelung des Gerichtsstandes ins Benehmen setzen müssen. Sollte sich dannzumal keine Einigung ergeben, wird erst die Anklagekammer des Bundesgerichts angerufen werden können. Das vom Generalprokurator des Kantons Bern gestellte Gesuch um Bestimmung des Gerichtsstands im Kanton Zürich erweist sich als verfrüht und ist deshalb zur Zeit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