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55</w:t>
      </w:r>
    </w:p>
    <w:p>
      <w:r>
        <w:t>Bundesgericht (BGE), 1981-01-01, DE</w:t>
      </w:r>
    </w:p>
    <w:p>
      <w:r>
        <w:rPr>
          <w:b/>
        </w:rPr>
        <w:t xml:space="preserve">Quelle: </w:t>
      </w:r>
      <w:r>
        <w:t>https://mcp.opencaselaw.ch/entscheid/bge_BGE_107_IV_55</w:t>
      </w:r>
    </w:p>
    <w:p>
      <w:r>
        <w:t>FR: ATF 107 IV 55</w:t>
      </w:r>
    </w:p>
    <w:p>
      <w:r>
        <w:t>IT: DTF 107 IV 55</w:t>
      </w:r>
    </w:p>
    <w:p>
      <w:pPr>
        <w:pStyle w:val="Heading2"/>
      </w:pPr>
      <w:r>
        <w:t>Regeste</w:t>
      </w:r>
    </w:p>
    <w:p>
      <w:r>
        <w:t>Regeste Art. 36 Abs. 4 SVG, Art. 17 Abs. 1 VRV; Einfügen eines Trolleybus in den Verkehr. Vorsichtspflicht des Fahrers, besonders bei sichttotem Winkel.</w:t>
      </w:r>
    </w:p>
    <w:p>
      <w:r>
        <w:t>Regeste Art. 36 al. 4 LCR, art. 17 al. 1 OCR; entrée d'un trolleybus dans la circulation. Devoir de prudence du conducteur, surtout dans la surveillance des angles morts.</w:t>
      </w:r>
    </w:p>
    <w:p>
      <w:r>
        <w:t>Regesto Art. 36 cpv. 4 LCS, art. 17 cpv. 1 ONCS; entrata di un filobus nella circolazione. Obbligo di prudenza del conducente, in particolare quando vi siano sul suo veicolo angoli morti.</w:t>
      </w:r>
    </w:p>
    <w:p>
      <w:pPr>
        <w:pStyle w:val="Heading2"/>
      </w:pPr>
      <w:r>
        <w:t>Erwägungen</w:t>
      </w:r>
    </w:p>
    <w:p>
      <w:r>
        <w:rPr>
          <w:b/>
        </w:rPr>
        <w:t>E. 2</w:t>
      </w:r>
    </w:p>
    <w:p>
      <w:r>
        <w:t>Nach Art. 36 Abs. 4 SVG darf der Führer, der sein Fahrzeug in den Verkehr einfügen, wenden oder rückwärts fahren will, andere Strassenbenützer nicht behindern; diese haben den Vortritt. Und nach Art. 17 Abs. 1 VRV hat sich der Fahrzeugführer vor dem Wegfahren zu vergewissern, dass er keine Kinder oder andere Strassenbenützer gefährdet. a) Nach dem angefochtenen Urteil und den ihm zugrunde liegenden Akten (polizeiliche Planskizze, Fotos s. Seite 57) ist Sch. vom Trolleybus noch auf dem Wendeplatz "Rider", also ausserhalb der Staatsstrasse, angefahren worden. Das ändert aber nichts an der Tatsache, dass jene Verkehrsregeln auch auf dem genannten Platz Anwendung fanden. Die Verkehrsregeln gelten nämlich nach Art. 1 Abs. 1 SVG für die BGE 107 IV 55 S. 57 Führer von Motorfahrzeugen auf allen, dem öffentlichen Verkehr dienenden Strassen. Strassen aber sind gemäss Art. 1 Abs. 1 VRV die von Motorfahrzeugen, motorlosen Fahrzeugen oder Fussgängern benützten Verkehrsflächen, und öffentlich sind Strassen, die nicht ausschliesslich privatem Gebrauch dienen. Da der Wendeplatz "Rider" nicht nur von Trolleybussen, sondern auch von ein- und aussteigenden Passagieren und Fussgängern, die von einem zum andern Ende des durch den Platz unterbrochenen Trottoirs gelangen wollen, also von einem unbestimmbaren Personenkreis benutzt werden, ist er eine öffentliche Strasse und fällt deshalb der Verkehr auf ihm unter die Bestimmungen des SVG und seiner Nebenerlasse ( BGE 104 IV 108 , BGE 86 IV 31 ). b) Aus dem Gesagten folgt, dass S. im vorliegenden Fall sich vor dem Wegfahren von der Haltestelle zu vergewissern hatte, dass er Kinder oder andere Benützer des Platzes nicht gefährde. Diesen gegenüber war er auf dem Wendeplatz wartepflichtig. Art. 17 Abs. 5 VRV ändert daran nichts. Er regelt das Verhältnis des Busführers im Linienverkehr zu von hinten auf der Fahrbahn herannahenden Fahrzeugführern und entbindet den ersteren nicht von der allgemeinen Pflicht, beim Wegfahren von einer Haltestelle allfällige vor seinem Fahrzeug durchgehende Strassenbenützer nicht zu gefährden. BGE 107 IV 55 S. 58 c) Nach den verbindlichen Annahmen des angefochtenen Urteils befanden sich die Eheleute Sch., die ganz nahe am Trolleybus vorbeigingen und dabei hintereinander liefen, im Moment, als der Bus losfuhr, im sichttoten Winkel des Fahrzeuges. Frau Sch. habe allerdings nur einen Schritt schräg nach links vom Bus weg gegen das Trottoir tun müssen, damit ihr Kopf im Blickwinkel des Beschwerdeführers erschienen sei, was sie beim Anlassen des Motors auch getan habe. In diesem Augenblick habe S. jedoch nach links beobachtet und er sei erst durch den Funkspruch seines Kollegen F. darauf aufmerksam gemacht worden, dass sich Sch. vor der Front seines Fahrzeugs befand. S. habe die Eheleute Sch. im übrigen schon zuvor beim Abbiegen zum "Rider" als auch während des Halts gesehen. Während des Abbiegens befand sich das Ehepaar auf oder bei der Verkehrsinsel, als der Bus anhielt, bei der auf dem Plan mit "c" bezeichneten Stelle. Dabei war die Sicht des Beschwerdeführers - wie die Vorinstanz erneut verbindlich feststellt - nicht behindert. Geht man davon aus, so wusste der Beschwerdeführer, dass sich ein älteres Ehepaar, dessen einer Partner erkennbar schwer gehbehindert war, langsam von links her gegen den Bus zu bewegte. Auch wenn er während des Halts damit beschäftigt war, an einsteigende Passagiere Billete abzugeben, und ihm deshalb nicht als Verschulden zur Last fällt, dass er während dieser Zeit nicht auch noch das Geschehen rings um sein Fahrzeug beobachtete, so musste er doch unmittelbar vor dem Wegfahren sich nach den beiden Fussgängern umsehen. Als er den Bus angehalten hatte, hatte er die beiden bei Position "c" gesehen, also in der Nähe des Strassenrandes und ca. 6,20 m von der linken vorderen Ecke seines Fahrzeugs entfernt. In diesem Zeitpunkt lagen keine Anzeichen dafür vor, dass das Ehepaar Sch. hinten um den Bus herumgehen würde, dies umso weniger, als S. die beiden Personen im Zeitpunkt des Abbiegens bei der Verkehrsinsel gesehen hatte und sie von dort nicht etwa nach rechts, sondern weiter dem Strassenrand entlang in gerader Linie (durch Position "c") auf das dem Parkhaus vorgelagerte Trottoir zu gehalten hatten. Angesichts dessen lag es nahe, dass sie unmittelbar vor seinem Fahrzeug durchgehen würden. Da er sie jedoch vor dem Wegfahren bei der Beobachtung nach vorne nicht sehen konnte, weil sie sich im sichttoten Winkel des Fahrzeuges befanden, stellt sich die Frage, ob er es bei einer Beobachtung BGE 107 IV 55 S. 59 aus sitzender Stellung heraus bewenden lassen durfte oder ob er ein mehreres hätte tun müssen. Wie der Kassationshof entschieden hat, handelt es sich beim sichttoten Winkel um einen in der Bauart des Fahrzeugs liegenden Faktor, den der Führer grundsätzlich zum vorneherein in Rechnung zu stellen hat; insbesondere hat der Wartepflichtige dafür besorgt zu sein, dass die sich aus jenem Faktor ergebenden Risiken ausgeschaltet werden ( BGE 83 IV 166 ). Wo die Sicht nach vorne beschränkt ist und am Fahrzeug keine Spiegel angebracht sind, welche vom Führersitz aus Einsicht in die vorne liegenden sichttoten Winkel ermöglichen, wird sich der Führer gegebenenfalls kurz vom Sitz erheben, sich vorbeugen oder seitlich etwas verschieben müssen, um genügende Sicht zu gewinnen. Das ist auch dem von einer Haltestelle wegfahrenden Chauffeur eines Linienbusses dann zuzumuten, wenn nach den Umständen eine nahe Möglichkeit besteht, dass Fussgänger (Kinder wie Erwachsene) unmittelbar vor seinem Fahrzeug durchgehen, die er wegen der in der Bauart des Wagens liegenden Sichtbehinderung vom Führersitz aus in sitzender Stellung nicht sehen kann. Hier wird er sich kurz vom Sitz erheben müssen, um sich zu vergewissern, dass sich niemand im sichttoten Winkel seines Fahrzeuges befindet. Im vorliegenden Fall musste S. nach dem Gesagten mit der Möglichkeit rechnen, dass das zuvor beobachtete, kleingewachsene Ehepaar Sch., dessen einer Teil erkennbar gebrechlich war und sich nur mühsam voranbewegte, vor dem Bus durchgehen würde. Er hätte deshalb vor dem Wegfahren sich kurz vom Sitz erheben und nötigenfalls leicht vorbeugen müssen, um einen Blick in den der Fahrzeugfront unmittelbar vorgelagerten Raum zu tun. Hätte er es getan, hätte er die beiden Fussgänger gesehen. Der ihm von der Vorinstanz gemachte Vorwurf mangelnder Aufmerksamkeit und Vorsicht besteht deshalb zu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