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51</w:t>
      </w:r>
    </w:p>
    <w:p>
      <w:r>
        <w:t>Bundesgericht (BGE), 1981-01-01, DE</w:t>
      </w:r>
    </w:p>
    <w:p>
      <w:r>
        <w:rPr>
          <w:b/>
        </w:rPr>
        <w:t xml:space="preserve">Quelle: </w:t>
      </w:r>
      <w:r>
        <w:t>https://mcp.opencaselaw.ch/entscheid/bge_BGE_107_IV_51</w:t>
      </w:r>
    </w:p>
    <w:p>
      <w:r>
        <w:t>FR: ATF 107 IV 51</w:t>
      </w:r>
    </w:p>
    <w:p>
      <w:r>
        <w:t>IT: DTF 107 IV 51</w:t>
      </w:r>
    </w:p>
    <w:p>
      <w:pPr>
        <w:pStyle w:val="Heading2"/>
      </w:pPr>
      <w:r>
        <w:t>Regeste</w:t>
      </w:r>
    </w:p>
    <w:p>
      <w:r>
        <w:t>Regeste Art. 68 Abs. 1 und 5 SSV. Bedeutung der schwarzen Konturpfeile in Lichtsignalen. Die im Rot- und Gelblicht von Verkehrsampeln erscheinenden schwarzen Konturpfeile verbieten den Benützern der zugeordneten Fahrspur auch, in anderer als in Pfeilrichtung weiterzufahren (E. 3b).</w:t>
      </w:r>
    </w:p>
    <w:p>
      <w:r>
        <w:t>Regeste Art. 68 al. 1 et 5 OSR. Portée de la flèche apparaissant en noir dans un signal lumineux. La flèche apparaissant en noir dans un feu rouge ou dans un feu jaune interdit aussi au conducteur qui se trouve dans la voie de circulation régie par ce feu de traverser l'intersection dans une autre direction que celle indiquée par la flèche (consid. 3b).</w:t>
      </w:r>
    </w:p>
    <w:p>
      <w:r>
        <w:t>Regesto Art. 68 cpv. 1 et 5 OSS. Portata della freccia con i contorni neri che appare in un segnale luminoso. La freccia con i contorni neri che appare nella luce rossa o gialla vieta al conducente che si trovi sulla corsia a cui si riferisce tale luce di attraversare l'intersezione anche in una direzione diversa da quella indicata dalla freccia (consid. 3b).</w:t>
      </w:r>
    </w:p>
    <w:p>
      <w:pPr>
        <w:pStyle w:val="Heading2"/>
      </w:pPr>
      <w:r>
        <w:t>Erwägungen</w:t>
      </w:r>
    </w:p>
    <w:p>
      <w:r>
        <w:rPr>
          <w:b/>
        </w:rPr>
        <w:t>E. 3</w:t>
      </w:r>
    </w:p>
    <w:p>
      <w:r>
        <w:t>Der Beschwerdeführer wendet sich grundsätzlich nicht gegen die Unterstellung des fraglichen Vorfalls unter den Art. 68 SSV . Hingegen macht er geltend, Abs. 1 dieser Bestimmung beschränke die Wirkung des Rotlichts mit Richtungspfeil auf die angezeigte Richtung. Also habe er das Signal nicht missachtet, denn er sei in anderer Richtung weitergefahren. Er habe lediglich den Bodenmarkierungen zuwider gehandelt. a) Die gleiche Auffassung, wie sie der Beschwerdeführer jetzt für die Richtungspfeile in Rotlichtsignalen vertritt, wurde schon für die Grünpfeile nach Art. 49 aSSV verfochten und vom Bundesgericht in BGE 104 IV 110 ff. mit ausführlicher Begründung verworfen. Auch Art. 49 Abs. 3 aSSV erklärte nur, durch die grünen Pfeile in Lichtsignalen werde der Verkehr in der angegebenen Richtung gestattet. Aus der allgemeinen Zweckbestimmung der Richtungspfeile in Signalampeln ergibt sich jedoch, dass damit zugleich zwingend vorgeschrieben wird, die Fahrt aus der zugeordneten Fahrspur ausschliesslich in der angegebenen Richtung fortzusetzen. Richtungspfeile in Ampeln dienen wie die Bodenmarkierungen durch Einspurpfeile der Entflechtung verschiedener Fahrströme auf eine Kreuzung hin und deren gegenseitig unbeeinflusste Weiterführung. Ampeln und Bodenmarkierungen ergänzen sich. Lichtsignale mit Richtungspfeilen sind bei dichtem Verkehr oder schneebedeckter Fahrbahn zuverlässiger erkennbar als Bodenpfeile. Letztere können auch völlig verschwunden sein, z.B. durch Abrieb im Winter oder unmittelbar nach Belagsarbeiten vor der neuen Markierung. In diesen Fällen wird die vorgeschriebene Richtung ausschliesslich durch die Pfeile in den Ampeln angezeigt. Es kann keine Rede davon sein, dass dann aus einer bestimmten Fahrspur auf der Kreuzung in jede beliebige Richtung weitergefahren werden dürfte, weil auf dem Belag keine Einspurpfeile sichtbar sind und die Richtungspfeile in den Ampeln "nur" die zulässige Weiterfahrt anzeigen. Der Kassationshof verwies im zitierten Urteil auch auf die BGE 107 IV 51 S. 54 gleichlautende und gleich interpretierte Regel des deutschen Strassenverkehrsrechts und auf die Verkehrsordnung über Europäische Verkehrszeichen. Eine abweichende und zudem völlig sinnwidrige Auslegung in der Schweiz würde sich schon aus Rücksicht auf den starken internationalen Verkehr verbieten. b) Art. 68 der neuen SSV erweitert die bisher nur für Grünlicht geltende Regel auf Rot- und Gelblicht. Während für diese früher gemäss Art. 49 und Art. 50 SSV Richtungspfeile ausdrücklich untersagt waren, werden sie jetzt in Art. 68 Abs. 1 und 5 SSV erwähnt. Wie in Art. 49 aSSV für das Grünlicht, wird nun in Art. 68 Abs. 1 bis 5 SSV die Wirkung der durch das Rot-, Grün- und Gelblicht sichtbar gemachten Verkehrsregeln bei Lichtsignalen mit eingeblendeten Pfeilen auf die angezeigte Richtung beschränkt. Die für einzelne Fahrstreifen getrennt angebrachten, mit Richtungspfeilen versehenen Ampeln regeln - nach dem neuen Recht hinsichtlich aller drei Funktionsbereiche - den Verkehr nur noch für die betreffenden Fahrspuren. Der im Lichtsignal erscheinende Pfeil aber behält seine zusätzliche Bedeutung als optische Weiterführung verpflichtender, der Kanalisierung des Verkehrs dienender Bodenmarkierungen weiterhin bei (vgl. BGE 104 IV 115 ). Das mit ihm zum Ausdruck gebrachte Gebot, ausschliesslich in der Pfeilrichtung weiterzufahren, wird nunmehr wesentlich noch dadurch verdeutlicht, dass es nicht nur zusammen mit Grünlicht signalisiert ist, sondern auch im Rot- und Gelblicht mittels schwarzer Konturpfeile angezeigt werden kann. Die Verpflichtung, auf einer bestimmten Fahrspur die Fahrt nur in der angegebenen Richtung fortzusetzen, wird aufgrund dieser Neuregelung unmissverständlich und unabhängig von der jeweiligen Phase im Lichtwechsel markiert. Sie gilt auch, wenn (z.B. nachts) die Anlage auf gelbes Blinklicht umgeschaltet wird. c) Was die Nichtigkeitsbeschwerde vorbringt, ist buchstabenmässige Auslegung eines aus dem Zusammenhang gerissenen Satzes. Vom ganzen System des Verkehrsrechts her gesehen und unter dem Gesichtspunkt der Verkehrssicherheit wäre es widersinnig, den Fahrer zuerst auf eine bestimmte Spur zu führen und ihn zu verpflichten, bei Grünlicht nur in die angezeigte Richtung weiterzufahren, ihm aber zu gestatten, trotz des auch bei Rotlicht sichtbaren Richtungspfeils dann eine andere Richtung einzuschlagen, sofern nur die jener Fahrspur BGE 107 IV 51 S. 55 zugeordnete Ampel grün zeigt. Der vom Beschwerdeführer vertretenen These kann nicht gefolgt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