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47</w:t>
      </w:r>
    </w:p>
    <w:p>
      <w:r>
        <w:t>Bundesgericht (BGE), 1981-01-01, DE</w:t>
      </w:r>
    </w:p>
    <w:p>
      <w:r>
        <w:rPr>
          <w:b/>
        </w:rPr>
        <w:t xml:space="preserve">Quelle: </w:t>
      </w:r>
      <w:r>
        <w:t>https://mcp.opencaselaw.ch/entscheid/bge_BGE_107_IV_47</w:t>
      </w:r>
    </w:p>
    <w:p>
      <w:r>
        <w:t>FR: ATF 107 IV 47</w:t>
      </w:r>
    </w:p>
    <w:p>
      <w:r>
        <w:t>IT: DTF 107 IV 47</w:t>
      </w:r>
    </w:p>
    <w:p>
      <w:pPr>
        <w:pStyle w:val="Heading2"/>
      </w:pPr>
      <w:r>
        <w:t>Regeste</w:t>
      </w:r>
    </w:p>
    <w:p>
      <w:r>
        <w:t>Regeste Art. 1 Abs. 8 Satz 2 VRV. Verzweigungen oder Einmündungen von Feldwegen usw. Nicht signalisierte Ausnahmen vom Rechtsvortritt müssen auf Fälle beschränkt werden, welche die Beteiligten (auch Ortsunkundige und unter erschwerten Verhältnissen) als solche erkennen können. Eine schuldhafte Missachtung des Rechtsvortritts kann einem Ortsunkundigen nicht zur Lase gelegt werden, wenn er ausserorts bei den gegebenen Sichtverhältnissen eine Wegeinmündung zweifelsfrei als blossen Feldweg wahrnehmen muss.</w:t>
      </w:r>
    </w:p>
    <w:p>
      <w:r>
        <w:t>Regeste Art. 1 al. 8 deuxième phrase OCR. Intersection ou débouché d'un chemin de campagne. Les exceptions non signalées aux règles de la priorité doivent être réduites aux cas aisément reconnaissables pour les usagers, même non familiers des lieux et dans des circonstances défavorables. La violation fautive des règles de la priorité ne peut être reprochée à un usager non familier des lieux si, en dehors d'une localité et par de mauvaises conditions de visibilité, il doit considérer sans hésitation une bifurcation comme le débouché d'un chemin de campagne.</w:t>
      </w:r>
    </w:p>
    <w:p>
      <w:r>
        <w:t>Regesto Art. 1 cpv. 8 seconda frase ONCS. Intersezione o sbocco di una strada dei campi. Le eccezioni non segnalate alle regole della precedenza devono essere ridotte ai casi agevolmente riconoscibili per gli utenti, anche se non hanno dimestichezza con i luoghi e in circostanze sfavorevoli. La violazione per negligenza della precedenza non può essere posta a carico dell'utente che non abbia dimestichezza con i luoghi se, fuori di una località e in condizioni di visibilità sfavorevoli, egli debba considerare senza esitazione una biforcazione come lo sbocco di una strada dei campi.</w:t>
      </w:r>
    </w:p>
    <w:p>
      <w:pPr>
        <w:pStyle w:val="Heading2"/>
      </w:pPr>
      <w:r>
        <w:t>Erwägungen</w:t>
      </w:r>
    </w:p>
    <w:p>
      <w:r>
        <w:rPr>
          <w:b/>
        </w:rPr>
        <w:t>E. 2</w:t>
      </w:r>
    </w:p>
    <w:p>
      <w:r>
        <w:t>Streitig ist, ob die Einmündung der Waggitalstrasse in die obere Bergstrasse als Strassenverzweigung mit Rechtsvortritt BGE 107 IV 47 S. 49 im Sinne von Art. 36 Abs. 2 SVG oder als Einmündung ohne Rechtsvortritt gemäss Art. 1 Abs. 8 Satz 2 VRV zu betrachten ist.</w:t>
      </w:r>
    </w:p>
    <w:p>
      <w:r>
        <w:rPr>
          <w:b/>
        </w:rPr>
        <w:t>E. 3</w:t>
      </w:r>
    </w:p>
    <w:p>
      <w:r>
        <w:t>a) Wenn nicht anders signalisiert, hat auf Strassenverzweigungen der von rechts Kommende den Vortritt ( Art. 36 Abs. 2 SVG ). Die einzige Ausnahme findet sich in Art. 1 Abs. 8 Satz 2 VRV . Bei blossen Einmündungen von Feldwegen, Hofausfahrten usw. handelt es sich nicht um Verzweigungen mit Rechtsvortritt. Hier wird nicht nur das Prinzip des Rechtsvortritts durchbrochen, sondern es fehlt auch jede Signalisierung dieser Ausnahme, für Benützer des einen wie des andern Verkehrsweges. Es liegt auf der Hand, dass solche Ausnahmen unfallträchtig sind. Im Interesse der Verkehrssicherheit müssen sie daher auf Fälle beschränkt werden, die auch ohne Signalisierung für die Beteiligten zweifelsfrei erkennbar sind, auch für Ortsunkundige und bei erschwerten Sichtverhältnissen. Im Zweifel ist stets für die normale Ordnung, nicht für die Ausnahme zu entscheiden. Zudem muss an Ort und Stelle für Klarheit gesorgt werden. b) Der Kassationshof hat objektive Kriterien darüber aufgestellt, wann solche Ausnahmesituationen vorliegen. In erster Linie handelt es sich um die in Art. 1 VRV ausdrücklich erwähnten Beispiele. Dazu gehören vor allem Ausfahrten, die nur einzelnen Gebäuden, Parkplätzen usw. dienen, unabhängig von ihrem Ausbau, also auch breite asphaltierte Verkehrsflächen und bei Längen um ca. 100 m ( BGE 99 IV 222 ). Eine Ausnahmesituation liegt sodann bei eigentlichen Feldwegen vor, die schmal sind und keinen Belag aufweisen. Ist eine entsprechende Klassierung nicht eindeutig gegeben, so wird zusätzlich auf die Verkehrsbedeutung abgestellt. Strässchen, die nur bestimmten Personen offenstehen oder als Stichstrassen wenige Häuser bedienen, haben bei der Einmündung in stark befahrene Durchgangsstrassen eine so völlig untergeordnete Bedeutung, dass dort das normale Vortrittsrecht nicht gilt (vgl. BGE 91 IV 41 , 146). Bei der Kreuzung zweier Nebenstrassen wird die eine nicht schon deklassiert, wenn sie weniger breit ist und geringeren Verkehr aufweist (vgl. BGE 106 IV 56 ). Der Kassationshof hat wiederholt den Ausschluss des normalen Vortrittsrechts abgelehnt, wenn ruhige Quartiersträsschen in stark frequentierte Stadtstrassen münden ( BGE 96 IV 37 ). BGE 107 IV 47 S. 50 Verschiedene dieser Kriterien sind für Ortsunkundige nicht erkennbar. Schuldhaft missachtet das Vortrittsrecht nur, wer sich nicht an die bei Annäherung an die Einmündung ersichtliche Situation hält. Im Zweifel muss er davon ausgehen, dem von rechts Kommenden stehe der Vortritt zu.</w:t>
      </w:r>
    </w:p>
    <w:p>
      <w:r>
        <w:rPr>
          <w:b/>
        </w:rPr>
        <w:t>E. 4</w:t>
      </w:r>
    </w:p>
    <w:p>
      <w:r>
        <w:t>a) Die objektiven Gegebenheiten zeigen, dass es sich bei der Einmündung der Waggitalstrasse in die Bergstrasse um eine richtige Verzweigung handelt, nicht um das Zusammentreffen eines Feldwegs oder völlig bedeutungslosen Nebensträsschens mit einer Strasse. Die Bergstrasse ist 5,7 m breit, die Waggitalstrasse auf ihrer ganzen Länge 4 m, mit trichterförmiger Einmündung. Beide Strassen sind asphaltiert, auch im Gebiet der Einmündung. Diese verläuft niveaugleich, also ohne sichtbaren Übergang durch eine Bordkante usw. Schon baulich besteht also zwar ein gewisser, aber kein entscheidender Unterschied. Die Bergstrasse ist verkehrsmässig bedeutungsvoller; sie ist auch entsprechend durch Randlinien, Reflexpfosten und Kurventafeln für ihre Benützer gekennzeichnet. Sie dient teilweise dem Durchgangsverkehr. Dennoch handelt es sich weder um eine eigentliche Durchgangsstrasse noch ist sie breit und durch eine mittlere Leitlinie aufgeteilt. Es ist eine gut frequentierte Landstrasse zweiter Ordnung. Die Waggitalstrasse weist erheblich weniger Verkehr auf und erschliesst vor allem die Weiler Waggital und Stocken. Entscheidend ist jedoch, dass es sich weder um eine Stich- oder Sackgasse handelt noch um eine nur in einer Richtung zu befahrende und nur wenige Häuser bedienende Strasse kurzer Distanz. Vielmehr ist es eine für jedermann offene in beiden Richtungen befahrbare Gemeindestrasse, die zwei andere Strassen verbindet und an der neben Wohn- und Bauernhäusern auch ein Schulhaus und ein Kindergarten liegen. Sie ist auf der ganzen Länge von 2 km asphaltiert und 4 m breit. Von einer einem Feldweg usw. vergleichbaren Strasse kann keine Rede sein. b) In subjektiver Beziehung ist dagegen gestützt auf die verbindlichen Feststellungen der Vorinstanz festzuhalten, dass dem die Bergstrasse befahrenden Verkehrsteilnehmer bei der Annäherung an die Einmündung der Waggitalstrasse diese sich wie ein bedeutungsloses Feldsträsschen präsentiert (vgl. auch die Fotos). Dazu trägt bei, dass die Bepflanzung und BGE 107 IV 47 S. 51 das anschliessende leichte Gefälle der Waggitalstrasse den Einblick auf diese behindern, sodass praktisch nur das vorderste Stück im Bereich der Kurvenleittafel sichtbar ist. Daher ist dem die Bergstrasse befahrenden Automobilisten keine schuldhafte Pflichtwidrigkeit vorzuwerfen, wenn er angesichts dieser Einmündung annimmt, es stehe ihm das Vortrittsrecht zu. Hat der Beschwerdegegner demgemäss nicht fahrlässig das Vortrittsrecht des aus der Waggitalstrasse einmündenden Fahrers missachtet, so wurde er von der Vorinstanz ohne Bundesrechtsverletzung freigesprochen. c) Das ändert jedoch nichts daran, dass an sich bei jener Einmündung das normale Vortrittsrecht gilt. Ein Ortskundiger müsste es gegen sich gelten lassen. Vor allem aber ist auch einem aus der Waggitalstrasse einmündenden Fahrer kein Vorwurf zu machen, wenn er dieses Vortrittsrecht für sich beansprucht. Er hat bereits ein erhebliches Stück (bis zu 2 km) auf einer 4 m breiten asphaltierten Strasse zurückgelegt und weiss darum, dass er sich nicht auf einem Feldweg befindet. Nichts deutet bei der Einmündung in die Bergstrasse darauf, dass sein Vortrittsrecht aufgehoben ist, weder ein Signal noch die örtliche Situation, wie sie sich ihm präsentiert: Er fährt auf einer ganz normalen Einmündung von einer asphaltierten Strasse in eine etwas breitere.</w:t>
      </w:r>
    </w:p>
    <w:p>
      <w:r>
        <w:rPr>
          <w:b/>
        </w:rPr>
        <w:t>E. 5</w:t>
      </w:r>
    </w:p>
    <w:p>
      <w:r>
        <w:t>Bei dieser Sachlage ist es kein Zufall, dass sich in kurzen Abständen an dieser Einmündung Zusammenstösse ereigneten. Durch die Markierung der Bergstrasse und die Bewachsung im Bereich der Einmündung wird beim ortsunkundigen Benützer der Bergstrasse der falsche Eindruck erweckt, er sei vortrittsberechtigt. Bei derartigen Verhältnissen drängt es sich gebieterisch auf, durch entsprechende Signale für Klarheit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