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3</w:t>
      </w:r>
    </w:p>
    <w:p>
      <w:r>
        <w:t>Bundesgericht (BGE), 1981-01-01, DE</w:t>
      </w:r>
    </w:p>
    <w:p>
      <w:r>
        <w:rPr>
          <w:b/>
        </w:rPr>
        <w:t xml:space="preserve">Quelle: </w:t>
      </w:r>
      <w:r>
        <w:t>https://mcp.opencaselaw.ch/entscheid/bge_BGE_107_IV_3</w:t>
      </w:r>
    </w:p>
    <w:p>
      <w:r>
        <w:t>FR: ATF 107 IV 3</w:t>
      </w:r>
    </w:p>
    <w:p>
      <w:r>
        <w:t>IT: DTF 107 IV 3</w:t>
      </w:r>
    </w:p>
    <w:p>
      <w:pPr>
        <w:pStyle w:val="Heading2"/>
      </w:pPr>
      <w:r>
        <w:t>Regeste</w:t>
      </w:r>
    </w:p>
    <w:p>
      <w:r>
        <w:t>Regeste Art. 10 f. StGB. Nicht jede durch den Konsum von Alkohol oder andern bewusstseins- und willensbeeinflussenden Drogen bewirkte kurzfristige Enthemmung oder Verdummung genügt, um die Zurechnungsfähigkeit herabzusetzen. Berücksichtigung des Verhaltens des Täters vor, während und nach seiner Tat.</w:t>
      </w:r>
    </w:p>
    <w:p>
      <w:r>
        <w:t>Regeste Art. 10 s. CP. Il ne suffit pas de n'importe quel oubli des convenances ou de tout abrutissement passager provoqué par la consommation d'alcool ou de tout autre produit altérant la conscience et la volonté, pour admettre une diminution de responsabilité. Examen du comportement de l'auteur avant, pendant et après la commission de l'acte.</w:t>
      </w:r>
    </w:p>
    <w:p>
      <w:r>
        <w:t>Regesto Art. 10 seg. CP. Per ammettere una diminuzione della responsabilità non basta qualsiasi mancanza di ritegno o qualsiasi istupidimento transitori provocati dall'ingestione di alcool o d'altro prodotto suscettibile d'alterare la coscienza o la volontà. Esame del comportamento dell'agente prima, durante e dopo la commissione del fatto.</w:t>
      </w:r>
    </w:p>
    <w:p>
      <w:pPr>
        <w:pStyle w:val="Heading2"/>
      </w:pPr>
      <w:r>
        <w:t>Erwägungen</w:t>
      </w:r>
    </w:p>
    <w:p>
      <w:r>
        <w:rPr>
          <w:b/>
        </w:rPr>
        <w:t>E. 1</w:t>
      </w:r>
    </w:p>
    <w:p>
      <w:r>
        <w:t>Der Beschwerdeführer macht geltend, er sei bei der in der Nacht vom 3. auf den 4. Mai 1980 begangenen Tat infolge des von ihm zuvor genossenen Alkohols unzurechnungsfähig oder jedenfalls vermindert zurechnungsfähig gewesen. Er sei daher insoweit wegen Verübung einer Tat in selbstverschuldeter Unzurechnungsfähigkeit ( Art. 263 StGB ) zu verurteilen, beziehungsweise es sei die Strafe gemäss Art. 11 in Verbindung mit Art. 66 StGB nach freiem Ermessen zu mildern. a) In welchem Zustand sich K. zur Zeit der Tat befand, ist Tatfrage, die im Verfahren der eidgenössischen Nichtigkeitsbeschwerde nicht zur Entscheidung gestellt werden kann ( Art. 273 Abs. 1 lit. b, Art. 277bis BStP ). Rechtsfrage und vom Kassationshof zu prüfen ( Art. 269 Abs. 1 BStP ) ist, ob die Vorinstanz von zutreffenden Begriffen der (Un-)Zurechnungsfähigkeit und der verminderten Zurechnungsfähigkeit ausgegangen sei und ob sie diese im konkreten Fall richtig angewendet habe. Beides trifft zu. Auch wenn man mit der Beschwerde davon ausgeht, dass K. in völlig nüchternem Zustand zu einem raffinierteren Vorgehen imstande gewesen wäre, so lässt sich daraus noch nicht auf eine Verminderung der strafrechtlichen Zurechnungsfähigkeit im bezug auf die konkrete Tat schliessen. Das Vorgehen des Beschwerdeführers war durchaus folgerichtig, wenn man berücksichtigt, dass er nach den verbindlichen Feststellungen der Vorinstanz am Abend erfolglos versucht hatte, von der Serviertochter Geld zu borgen. Als er bei seiner Rückkehr das Restaurant A. verschlossen vorfand und ihm auch auf sein Klopfen und Poltern hin nicht Einlass gewährt wurde, versuchte er das Geld auf anderem Wege zu beschaffen und drang zu diesem BGE 107 IV 3 S. 5 Zweck in das Nachbargebäude ein. Als sich der 80jährige Z. durch die Drohungen des K. nicht einschüchtern liess, ergriff dieser, da er das Risiko der Verwirklichung seiner Absicht als zu gross erkannte, die Flucht. Es kann unter diesen Umständen keine Rede davon sein, dass das Vorgehen des K. "geradezu stupide" und persönlichkeitsfremd (K. ist schon mehrmals wegen Diebstahls, Entwendung und Betruges verurteilt worden) gewesen sei, wie in der Nichtigkeitsbeschwerde zur Begründung der Unzurechnungsfähigkeit behauptet wird. Dass der Alkohol womöglich eine gewisse Enthemmung und Verdummung des Beschwerdeführers bewirkte, reicht zur Bejahung einer Verminderung der strafrechtlichen Zurechnungsfähigkeit bezüglich der konkreten Tat nicht aus. Wie der Kassationshof bereits in bezug auf neurotische Fehlentwicklungen entschieden hat, genügt nicht jede Abweichung von der Norm zur Annahme verminderter Zurechnungsfähigkeit ( BGE 102 IV 226 E. 7b mit Hinweisen). Gleiches muss für die Wirkung von Alkohol und andern bewusstseins- und willensbeeinflussenden Drogen angenommen werden. K. war auch in seinem angetrunkenen Zustand in seiner Fähigkeit zur Erkenntnis des Unrechts seiner Tat und zu einsichtsgemässem Handeln nicht stärker eingeschränkt als viele andere Straftäter, die auch in nüchternem Zustand mit einer für den nicht kriminellen Rechtsgenossen unverständlichen Bedenken- und Hemmungslosigkeit fremde Rechtsgüter missachten. Entgegen der Behauptung der Beschwerde hat die Vorinstanz nicht nur die Einsichtsfähigkeit des K., sondern, wie aus S. 15 vor E. 4 des angefochtenen Urteils hervorgeht, auch seine Fähigkeit zu einsichtsgemässem Handeln bejaht; dies völlig zu Recht, wenn in Betracht gezogen wird, dass K. auf den Widerstand des Z. hin die Risiken seines Tuns sofort als zu gross erkannte und sich daher zur Flucht entschloss, die ihm auch gelang. Das Obergericht ist demnach von einem richtigen Begriff der Zurechnungsfähigkeit ausgegangen und hat diese angesichts des Zustands des Beschwerdeführers, wie er von verschiedenen Zeugen übereinstimmend beschrieben wurde, und seines Tatvorgehens mit Recht bejaht. b) In der Nichtigkeitsbeschwerde wird nicht behauptet, K. sei in seiner geistigen Gesundheit beeinträchtigt, geisteskrank oder -schwach. Die Beschwerde geht im Gegenteil davon aus, BGE 107 IV 3 S. 6 er sei in nüchternem Zustand ein normal handelnder, intelligenter Mensch. Auch die Akten ergeben keine Anhaltspunkte für konstitutionnelle oder krankhafte Beeinträchtigungen seines Geisteszustandes. Unter diesem Gesichtspunkt bestand somit kein Anlass zu einer Begutachtung. c) Im Appellationsverfahren hatte der Beschwerdeführer die Einholung eines medizinischen Gutachtens über die Wirkungen des gleichzeitigen Konsums von Alkohol und Medikamenten beantragt. Das Obergericht lehnte den Antrag ab unter anderem mit der Begründung, die Behauptung des K. betreffend die Einnahme von Tabletten am fraglichen Abend sei unglaubwürdig. Der Kassationshof hat auf staatsrechtliche Beschwerde hin den Verzicht auf eine Begutachtung im konkreten Fall als mit Art. 4 BV vereinbar erkannt, weil das Obergericht ohne Willkür den Tablettenkonsum als nicht erwiesen erachten durfte. In der Nichtigkeitsbeschwerde wird lediglich ausgeführt, es sei "nicht einzusehen, wie die Vorinstanz in Anbetracht der geschilderten Umstände (gemeint sind Alkoholkonsum und Tatvorgehen) frei von Zweifeln an der Zurechnungsfähigkeit des Beschwerdeführers sein konnte". Da indessen angesichts der übereinstimmenden Aussagen mehrerer Zeugen betreffend den Zustand des K. am fraglichen Abend und aufgrund seines Tatvorgehens kein Anlass zu Zweifeln an der Zurechnungsfähigkeit des Beschwerdeführers bestand, durfte die Vorinstanz ohne Verletzung von Art. 13 StGB auf die Einholung einer Expertise mit der gegebenen Begründung verzichten. Ein solches Gutachten wäre zudem mangels genügend gesicherter Grundlagen über Art und Menge der genossenen alkoholischen Getränke etc. ohnehin untauglich gewesen, die Beweiswürdigung zu beeinflussen.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