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17</w:t>
      </w:r>
    </w:p>
    <w:p>
      <w:r>
        <w:t>Bundesgericht (BGE), 1981-01-01, DE</w:t>
      </w:r>
    </w:p>
    <w:p>
      <w:r>
        <w:rPr>
          <w:b/>
        </w:rPr>
        <w:t xml:space="preserve">Quelle: </w:t>
      </w:r>
      <w:r>
        <w:t>https://mcp.opencaselaw.ch/entscheid/bge_BGE_107_IV_17</w:t>
      </w:r>
    </w:p>
    <w:p>
      <w:r>
        <w:t>FR: ATF 107 IV 17</w:t>
      </w:r>
    </w:p>
    <w:p>
      <w:r>
        <w:t>IT: DTF 107 IV 17</w:t>
      </w:r>
    </w:p>
    <w:p>
      <w:pPr>
        <w:pStyle w:val="Heading2"/>
      </w:pPr>
      <w:r>
        <w:t>Regeste</w:t>
      </w:r>
    </w:p>
    <w:p>
      <w:r>
        <w:t>Regeste Art. 42 StGB. Verwahrung. Wenn vom Strafvollzug eine Wirkung erwartet werden darf, die in präventiver Hinsicht den Folgen der Verwahrung mindestens gleichkommt oder überlegen ist, darf der Richter von der Anordnung der Verwahrung absehen.</w:t>
      </w:r>
    </w:p>
    <w:p>
      <w:r>
        <w:t>Regeste Art. 42 CP. Internement. Lorsqu'il peut attendre de l'exécution de la peine un effet préventif équivalent sinon supérieur à celui de l'internement, le juge doit renoncer à ordonner ce dernier.</w:t>
      </w:r>
    </w:p>
    <w:p>
      <w:r>
        <w:t>Regesto Art. 42 CP. Internamento. Ove possa attendersi dall'esecuzione della pena un effetto preventivo equivalente o superiore a quello dell'internamento, il giudice deve rinunciare ad ordinare quest'ultimo.</w:t>
      </w:r>
    </w:p>
    <w:p>
      <w:pPr>
        <w:pStyle w:val="Heading2"/>
      </w:pPr>
      <w:r>
        <w:t>Erwägungen</w:t>
      </w:r>
    </w:p>
    <w:p>
      <w:r>
        <w:rPr>
          <w:b/>
        </w:rPr>
        <w:t>E. 1</w:t>
      </w:r>
    </w:p>
    <w:p>
      <w:r>
        <w:t>Dass in objektiver Hinsicht die Voraussetzungen der Verwahrung gegeben sind, ist unbestritten. Die Zahl der begangenen Delikte und die Dauer der bisher ohne Resozialisierungserfolg verbüssten Freiheitsstrafen lassen keinen Zweifel darüber offen, dass die Verwahrung in Betracht zu ziehen ist.</w:t>
      </w:r>
    </w:p>
    <w:p>
      <w:r>
        <w:rPr>
          <w:b/>
        </w:rPr>
        <w:t>E. 2</w:t>
      </w:r>
    </w:p>
    <w:p>
      <w:r>
        <w:t>Hat der Richter gemäss Art. 42 StGB die gesetzliche Möglichkeit Verwahrung anzuordnen, so muss er nach pflichtgemässem Ermessen darüber befinden, ob diese ultima ratio des Sanktionensystems Platz greifen soll, oder ob - trotz der bisherigen Misserfolge des Strafvollzuges - doch noch genügend Anhaltspunkte für eine relativ günstige Prognose bestehen. Bei diesem Abwägen zwischen der Notwendigkeit einer die Schuldstrafe überschreitenden Internierung zu Sicherungszwecken und dem erneuten Vollzug einer Freiheitsstrafe sind die konkreten Umstände und Erfolgsaussichten zu berücksichtigen. Das Bundesgericht hat es als unzulässig bezeichnet, von einer Verwahrung abzusehen, weil der Täter sich nur zweimal in der Schweiz strafbar gemacht habe und nach der Verbüssung der Strafe in der Schweiz noch eine neue Bestrafung in Österreich zu erwarten habe ( BGE 101 IV 267 ; ähnlich BGE 99 IV 72 ). Im vorliegenden Fall liess sich das Obergericht nicht von solchen sachfremden Erwägungen leiten, sondern stützte sich auf eine einlässliche Würdigung der Wiedereingliederungschancen. BGE 107 IV 17 S. 19 a) Dabei legt die Vorinstanz das Hauptgewicht auf die gute Betreuung durch Frau D., eine 53jährige Mitarbeiterin der Heilsarmee. Die Hilfe durch diese erfahrene Bezugsperson erachtet die Mehrheit des Obergerichts als aussichtsreich. b) Als weitere positive Anhaltspunkte werden die Fortschritte im Verhalten des Beschwerdegegners während des laufenden Strafvollzuges erwähnt. Er zeigt jetzt mehr Selbstbeherrschung gegenüber Mitgefangenen und Vorgesetzten. Er befasst sich mit der Gestaltung seiner Zukunft. In der Freizeit sucht er durch Absolvierung eines Fernkurses als Radioelektriker sich nützliches Wissen anzueignen. c) Das Obergericht kommt daher mehrheitlich zum Schluss, bei Verbüssung der restlichen Freiheitsstrafe, die zu einer Entlassung im Alter von rund 34 Jahren führen werde, bestehe gute Aussicht für die Wiedereingliederung. Eine längere Internierungsmassnahme hingegen würde die Resozialisierung eher erschweren und zudem beim Betroffenen die Gefahr der Resignation mit sich bringen.</w:t>
      </w:r>
    </w:p>
    <w:p>
      <w:r>
        <w:rPr>
          <w:b/>
        </w:rPr>
        <w:t>E. 3</w:t>
      </w:r>
    </w:p>
    <w:p>
      <w:r>
        <w:t>Mit dieser Argumentation hat die Vorinstanz nach persönlicher Einvernahme des Beschwerdegegners und seiner Betreuerin einen durchaus vertretbaren Entscheid getroffen und den Rahmen des ihr zustehenden Ermessens nicht überschritten. Gewiss liesse sich aufgrund der bisherigen Erfahrungen auch eine weniger optimistische Gesamtbeurteilung begründen. Wenn aber die kantonalen Gerichte erster und zweiter Instanz in einlässlicher Würdigung der Vorgeschichte und der jetzigen Situation zum Schluss gekommen sind, es bestehe zur Zeit doch so viel Aussicht auf Erfolg, dass von einer Verwahrung abgesehen werden dürfe, dann wird durch diesen prognostischen Ermessensentscheid, der auf sachlichen Gründen beruht, das Bundesrecht nicht verletzt. Art. 42 StGB sieht als äusserste Möglichkeit eine Sicherungsmassnahme vor für jene Fälle, in denen vom Vollzug der nach Schuldprinzip ausgefällten Freiheitsstrafen kein Erfolg zu erwarten ist. Solange aber - trotz bisherigen Misserfolgen - vom Vollzug der neuen Strafe nach den Umständen eine Besserung erwartet werden darf, zwingt das Bundesrecht nicht zur Anordnung der Verwahrung. Eine zurückhaltende Anwendung von Art. 42 StGB entspricht dem Sinn und Zweck dieser Bestimmung. Die in BGE 101 IV 268 enthaltene Formulierung, der Richter dürfe - bei Vorliegen der objektiven Voraussetzungen BGE 107 IV 17 S. 20 - von der Verwahrung nur absehen, wenn er überzeugt sei, dass schon der Vollzug der Strafe den Verurteilten dauernd vor Rückfällen bewahren werde, ist nicht etwa im Sinne eines Grundsatzes "im Zweifel: Verwahrung" zu verstehen. Der Richter hat im Gegenteil von der Verwahrung abzusehen, sobald nach den Umständen vom Strafvollzug eine Wirkung erwartet werden darf, die in präventiver Hinsicht den Folgen einer sichernden Massnahme gemäss Art. 42 StGB mindestens gleichkommt oder überlegen ist. Im angefochtenen Urteil hat das Obergericht im Sinne dieser Erwägungen zum Antrag auf Verwahrung Stellung genommen.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