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169</w:t>
      </w:r>
    </w:p>
    <w:p>
      <w:r>
        <w:t>Bundesgericht (BGE), 1981-01-01, DE</w:t>
      </w:r>
    </w:p>
    <w:p>
      <w:r>
        <w:rPr>
          <w:b/>
        </w:rPr>
        <w:t xml:space="preserve">Quelle: </w:t>
      </w:r>
      <w:r>
        <w:t>https://mcp.opencaselaw.ch/entscheid/bge_BGE_107_IV_169</w:t>
      </w:r>
    </w:p>
    <w:p>
      <w:r>
        <w:t>FR: ATF 107 IV 169</w:t>
      </w:r>
    </w:p>
    <w:p>
      <w:r>
        <w:t>IT: DTF 107 IV 169</w:t>
      </w:r>
    </w:p>
    <w:p>
      <w:pPr>
        <w:pStyle w:val="Heading2"/>
      </w:pPr>
      <w:r>
        <w:t>Regeste</w:t>
      </w:r>
    </w:p>
    <w:p>
      <w:r>
        <w:t>Regeste Art. 148 Abs. 1 StGB. Betrug; Begriff der Arglist. Arglist ist auch gegeben, wenn der Täter voraussieht, dass der Getäuschte die Überprüfung der falschen Angabe unterlassen wird, sofern diese Voraussicht sich aus einem besonderen Vertrauensverhältnis ergibt, auf klaren Regelungen oder Zusicherungen beruht und nicht nur eine aus gewissen Beobachtungen stammende Erwartung darstellt.</w:t>
      </w:r>
    </w:p>
    <w:p>
      <w:r>
        <w:t>Regeste Art. 148 al. 1 CP. Escroquerie; définition de l'astuce. Il y a également astuce lorsque l'auteur prévoit que la dupe renoncera à contrôler la véracité des (fausses) indications qui lui sont données, si cette prévision est fondée sur une relation de confiance particulière, sur un règlement ou sur des assurances clairs et non pas seulement sur de simples observations permettant d'attendre ce comportement.</w:t>
      </w:r>
    </w:p>
    <w:p>
      <w:r>
        <w:t>Regesto Art. 148 cpv. 1 CP. Truffa; nozione d'astuzia. L'astuzia è data anche laddove l'agente prevede che la persona ingannata rinuncerà a controllare la veridicità delle (false) indicazioni fornitele, sempreché la sua previsione si fondi su di una relazione di fiducia particolare, su regole od assicurazioni chiare e non solo su semplici osservazioni che lascino apparire probabile tale omissione.</w:t>
      </w:r>
    </w:p>
    <w:p>
      <w:pPr>
        <w:pStyle w:val="Heading2"/>
      </w:pPr>
      <w:r>
        <w:t>Erwägungen</w:t>
      </w:r>
    </w:p>
    <w:p>
      <w:r>
        <w:rPr>
          <w:b/>
        </w:rPr>
        <w:t>E. 2</w:t>
      </w:r>
    </w:p>
    <w:p>
      <w:r>
        <w:t>Mit der Nichtigkeitsbeschwerde wird die Verurteilung wegen wiederholten Betruges ausschliesslich mit dem Argument angefochten, das Vorgehen des Beschwerdeführers sei zwar ein Handeln wider Treu und Glauben, doch erfülle der Bezug von Geld unter Vorweisung der Kontokarte und ohne jede falsche Angabe das Tatbestandsmerkmal der Arglist nicht. a) Arglist liegt nach der Rechtsprechung vor: - wenn der Täter sich zur Täuschung besonderer Machenschaften (manoeuvres frauduleuses, Lügengebäude) bedient oder - wenn er blosse falsche Angaben macht, deren Überprüfung jedoch dem Getäuschten nicht oder nur mit besondere Mühe möglich oder nicht zumutbar ist, - und schliesslich dann, wenn der Täter den Getäuschten von einer möglichen Überprüfung abhält oder wenn er nach den BGE 107 IV 169 S. 171 Umständen voraussieht, dass jener die Überprüfung unterlassen wird, weil ein besonderes Vertrauensverhältnis besteht (vgl. BGE 100 IV 274 , BGE 99 IV 76 E. 4). b) Der Beschwerdeführer hat keine besondern täuschenden Machenschaften gebraucht. Er beschränkte sich darauf, sich (wahrheitsgemäss) als Kontoinhaber auszuweisen. Dabei verschwieg er, dass er auf das Konto noch nichts einbezahlt hatte und in absehbarer Zeit nicht in der Lage sein werde, den Bezügen entsprechende Summen einzuzahlen. Dieses Verschweigen seiner finanziellen Situation und des bestehenden Passivsaldos lässt sich als die für die Bereicherung des Täters kausale Irreführung qualifizieren; es handelt sich um eine in der Unterlassung der Orientierung bestehende einfache falsche Angabe. Den Organen der Bank X. wäre es jeweils ohne besondere Mühe, mit einem zumutbaren Aufwand möglich gewesen, abzuklären, ob das Konto des Beschwerdeführers einen Aktivsaldo aufweise. I. wird auch nicht vorgeworfen, er habe die mögliche Kontrolle bewusst erschwert, etwa durch den Zeitpunkt seiner Vorsprache (bei Schalterschluss oder in Stosszeiten) oder er habe ihn bedienende Personen durch zusätzliche unwahre Angaben von einer Überprüfung seines Kontos abgehalten (vgl. nicht veröffentlichtes Urteil vom 29. Januar 1979 i.S. P.). c) Von den oben (lit. a) erwähnten Formen der Arglist kommt lediglich die letzte Variante in Frage: Die Vorinstanz wirft I. vor, er habe gewusst, dass bei der Bank X. eine Kontrolle des Kontostandes in der Regel unterbleibe. Auf diese Erfahrungstatsache habe er sich verlassen. Jeder, der mit einer falschen Angabe etwas zu erreichen sucht, hofft, die mögliche Kontrolle werde nicht durchgeführt. Das allein vermag den Vorwurf der Arglist noch nicht zu begründen, sonst würde dieses Tatbestandsmerkmal den Kreis strafbarer Täuschungen kaum einschränken. Die Voraussicht, dass nicht überprüft wird, reicht nur dort als Grundlage der Arglist aus, wo diese Voraussicht sich aus einem besondern Vertrauensverhältnis ergibt, auf klaren Regelungen oder Zusicherungen beruht und nicht nur eine auf gewissen Beobachtungen beruhende Erwartung darstellt, sondern eine Gewissheit. Diese Voraussetzung war in BGE 99 IV 77 ff. gegeben: Es ging in jenem Fall um die Ausnützung des Vertrauensverhältnisses zwischen Post und Kontoinhaber. Der Inhaber eines Postscheck-Kontos kann auf höchstens zwei Poststellen eine Ermächtigungskarte deponieren. An diesen Poststellen BGE 107 IV 169 S. 172 werden dem dort bekannten Kunden dann Checks bis zu einem bestimmten Höchstbetrag ohne Rückfrage beim Postcheckamt ausbezahlt (früher bis Fr. 2'000.--, jetzt bis Fr. 4'000.--). Diese aus Rationalisierungsgründen geschaffene Möglichkeit von Geldbezügen ohne Kontrolle der Deckung beruht auf einer ausdrücklichen, dem Kunden bekannten Regelung und darf als Ausfluss eines strafrechtlich schützenswerten, besonderen Vertrauensverhältnisses qualifiziert werden. Anders liegen die Verhältnisse bei Kleinkreditbanken, welche für die Angaben ihrer potentiellen Darlehensnehmer keine Unterlagen verlangen und auch von Rückfragen (an Arbeitgeber usw.) absehen, um die Kundenakquisition nicht zu behindern. Von einem besondern Vertrauensverhältnis kann in dieser Situation nicht die Rede sein, so dass in der Regel die überprüfbare falsche Angabe das Tatbestandsmerkmal der Arglist nicht erfüllen wird (vgl. nicht veröffentlichtes Urteil vom 12. Juni 1981 i.S. B.; PESCH in SJZ 1970 S. 323), auch wenn der potentielle Darlehensnehmer von der grosszügigen Praxis der Kleinkreditbank Kenntnis hat und daher annimmt, jede Überprüfung seiner Angaben werde unterbleiben. Zwischen I., der ein Lohnkonto neu eröffnete und in der hier zu beurteilenden Phase noch nichts einbezahlt hatte, und der Bank X. bestand kein besonderes Vertrauensverhältnis, das einen Verzicht auf die Überprüfung hätte erwarten lassen und rechtfertigen können. Die einfache Ausnützung des Fehlens einer an sich leicht möglichen Kontrolle kann unter den gegebenen Umständen nicht als arglistig qualifiziert werden. Der Schuldspruch wegen wiederholten Betruges verletzt daher Art. 148 StGB und das angefochtene Urteil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