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161</w:t>
      </w:r>
    </w:p>
    <w:p>
      <w:r>
        <w:t>Bundesgericht (BGE), 1981-01-01, DE</w:t>
      </w:r>
    </w:p>
    <w:p>
      <w:r>
        <w:rPr>
          <w:b/>
        </w:rPr>
        <w:t xml:space="preserve">Quelle: </w:t>
      </w:r>
      <w:r>
        <w:t>https://mcp.opencaselaw.ch/entscheid/bge_BGE_107_IV_161</w:t>
      </w:r>
    </w:p>
    <w:p>
      <w:r>
        <w:t>FR: ATF 107 IV 161</w:t>
      </w:r>
    </w:p>
    <w:p>
      <w:r>
        <w:t>IT: DTF 107 IV 161</w:t>
      </w:r>
    </w:p>
    <w:p>
      <w:pPr>
        <w:pStyle w:val="Heading2"/>
      </w:pPr>
      <w:r>
        <w:t>Regeste</w:t>
      </w:r>
    </w:p>
    <w:p>
      <w:r>
        <w:t>Regeste Art. 113 StGB. Entschuldbarkeit der heftigen Gemütsbewegung. Bei der Beurteilung der Entschuldbarkeit im Sinne von Art. 113 StGB ist nicht an jeden Täter ein allen seinen Besonderheiten Rechnung tragender eigener Massstab anzulegen; abnorme Elemente in der Persönlichkeit vermögen die Entschuldbarkeit nicht zu begründen, sondern sind bei der Bemessung der Tatschuld zu berücksichtigen.</w:t>
      </w:r>
    </w:p>
    <w:p>
      <w:r>
        <w:t>Regeste Art. 113 CP. Caractère excusable de l'émotion violente. Pour décider du caractère excusable de cette émotion au sens de l'art. 113 CP, il n'y a pas lieu d'établir pour chaque auteur une échelle particulière tenant compte de toutes ses particularités. Les circonstances exceptionnelles qui touchent à la personnalité de l'auteur ne sauraient fonder le caractère excusable de l'émotion. De tels éléments doivent être pris en considération lors de l'appréciation de la faute.</w:t>
      </w:r>
    </w:p>
    <w:p>
      <w:r>
        <w:t>Regesto Art. 113 CP. Carattere scusabile della violenta commozione dell'animo. Per decidere sul carattere scusabile della violenta commozione dell'animo ai sensi dell'art. 113 CP non dev'essere fatto uso per ogni agente di un particolare parametro che tenga conto di tutte le sue peculiarità; le circostanze eccezionali relative alla personalità dell'agente non possono determinare il carattere scusabile della commozione, ma vanno considerate nella valutazione della colpevolezza.</w:t>
      </w:r>
    </w:p>
    <w:p>
      <w:pPr>
        <w:pStyle w:val="Heading2"/>
      </w:pPr>
      <w:r>
        <w:t>Erwägungen</w:t>
      </w:r>
    </w:p>
    <w:p>
      <w:r>
        <w:rPr>
          <w:b/>
        </w:rPr>
        <w:t>E. 2</w:t>
      </w:r>
    </w:p>
    <w:p>
      <w:r>
        <w:t>Enstschuldbar im Sinne des Art. 113 StGB ist eine Gemütsbewegung nicht schon, wenn sie aus den gesamten objektiven und subjektiven Umständen heraus psychologisch erklärt werden kann. Der Begriff der Entschuldbarkeit verlangt vielmehr eine Bewertung nach ethischen Grundsätzen: Die Gemütsbewegung darf nicht ausschliesslich oder vorwiegend egoistischen, gemeinen Trieben entspringen, sondern sie muss durch die äusseren Umstände (Provokation, ungerechte Kränkung, Notlage), welche die Erregung ausgelöst haben, gerechtfertigt erscheinen ( BGE 82 IV 88 ). Die Lehre ist nicht anderer Meinung, wenn sie den entschuldbaren Charakter der Gemütsbewegung als eine ausnahmsweise Entgleisung eines anständig gesinnten Menschen (BINDER, ZStR 67 (1952) S. 318), eines rechtsgetreu Gesinnten (STRATENWERTH, I S. 30/31) bezeichnet oder am Massstab des durchschnittlich Zumutbaren misst (WALDER, ZStR 81 (1966) S. 39). In BGE 100 IV 151 hat das Bundesgericht diese Rechtsprechung bestätigt, ihr indes beigefügt, dass bei Beurteilung der Entschuldbarkeit auch der Persönlichkeit des Täters Rechnung zu tragen sei; es sei ihm daher nicht irgendein Mensch zum Vergleich gegenüberzustellen, sondern jemand aus gleichen Umweltverhältnissen. Diese letzte Aussage wurde vom Kassationshof in einem späteren nicht veröffentlichen Urteil dahin präzisiert, dass mit dem Hinweis auf die Umwelt, die Erziehung usw. insbesondere Unterschiede in der ethischen Bewertung, welche durch fremde Zivilisationen bedingt sind, berücksichtigt werden wollten (Urteil vom 12. Oktober 1979 i.S. B.-S.), was im genannten Fall, aber auch schon in dem in BGE 100 IV 150 beurteilten zutraf. Es kann deshalb keine Rede davon sein, dass an jeden Täter ein allen seinen Besonderheiten Rechnung tragender eigener Massstab anzulegen sei. Insbesondere vermag eine krankhafte Veranlagung die Entschuldbarkeit einer an sich unverständlichen Reaktion nicht zu begründen. Abnorme Elemente in der Persönlichkeit des Täters sind bei der Bemessung der konkreten Tatschuld zu berücksichtigen, nicht bei der Entschuldbarkeit ( BGE 107 IV 106 E. bb). Für deren Beurteilung ist vom Durchschnittsmenschen der Rechtsgemeinschaft auszugehen, welcher der Täter nach Herkunft, Erziehung und tätlicher Lebensführung angehört. BGE 107 IV 161 S. 163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