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158</w:t>
      </w:r>
    </w:p>
    <w:p>
      <w:r>
        <w:t>Bundesgericht (BGE), 1981-01-01, DE</w:t>
      </w:r>
    </w:p>
    <w:p>
      <w:r>
        <w:rPr>
          <w:b/>
        </w:rPr>
        <w:t xml:space="preserve">Quelle: </w:t>
      </w:r>
      <w:r>
        <w:t>https://mcp.opencaselaw.ch/entscheid/bge_BGE_107_IV_158</w:t>
      </w:r>
    </w:p>
    <w:p>
      <w:r>
        <w:t>FR: ATF 107 IV 158</w:t>
      </w:r>
    </w:p>
    <w:p>
      <w:r>
        <w:t>IT: DTF 107 IV 158</w:t>
      </w:r>
    </w:p>
    <w:p>
      <w:pPr>
        <w:pStyle w:val="Heading2"/>
      </w:pPr>
      <w:r>
        <w:t>Regeste</w:t>
      </w:r>
    </w:p>
    <w:p>
      <w:r>
        <w:t>Regeste Art. 58 und Art. 351 StGB. Zuständigkeit zur Einziehung. Übernimmt ein Kanton die Verfolgung und Beurteilung der vom Angeschuldigten in einem andern Kanton verübten strafbaren Handlungen, so ist er auch zum Entscheid darüber zuständig, ob die von diesem Kanton beim Angeschuldigten beschlagnahmten, im Zusammenhang mit dessen strafbaren Handlungen stehenden Gegenstände und Vermögenswerte einzuziehen sind.</w:t>
      </w:r>
    </w:p>
    <w:p>
      <w:r>
        <w:t>Regeste Art. 58 et art. 351 CP. Compétence pour prononcer la confiscation. Lorsqu'un canton se charge de poursuivre et de juger les infractions commises par l'accusé dans un autre canton, il est également compétent pour décider si les objets et valeurs saisis dans l'autre canton au préjudice de l'accusé et présentant un lien de connexité avec les infractions commises par celui-ci doivent être confisqués.</w:t>
      </w:r>
    </w:p>
    <w:p>
      <w:r>
        <w:t>Regesto Art. 58, art. 351 CP. Competenza ad ordinare la confisca. Ove un cantone s'incarichi di perseguire e di giudicare i reati commessi dall'imputato in un altro cantone, esso è pure competente a decidere se debbano essere confiscati gli oggetti e i valori sequestrati nell'altro cantone nei confronti dell'imputato e connessi con i reati compiuti da quest'ultimo.</w:t>
      </w:r>
    </w:p>
    <w:p>
      <w:pPr>
        <w:pStyle w:val="Heading2"/>
      </w:pPr>
      <w:r>
        <w:t>Erwägungen</w:t>
      </w:r>
    </w:p>
    <w:p>
      <w:r>
        <w:rPr>
          <w:b/>
        </w:rPr>
        <w:t>E. 1</w:t>
      </w:r>
    </w:p>
    <w:p>
      <w:r>
        <w:t>Nach den Akten haben sich die Strafbehörden der Kantone Aargau und Zürich dahin geeinigt, dass jener die Verfolgung und Beurteilung der sämtlichen von P. V. verübten strafbaren Handlungen übernehme. Das wird von der Staatsanwaltschaft Zürich in ihrer Vernehmlassung denn auch nicht bestritten. Ein nachträglicher Wechsel des vereinbarten Gerichtsstands wäre nur aus triftigen Gründen zulässig ( BGE 98 IV 208 E. 2 mit Hinweisen). BGE 107 IV 158 S. 160 Solche Gründe werden von der Staatsanwaltschaft des Kantons Zürich nicht geltend gemacht und liegen aufgrund der Akten auch nicht vor. Insbesondere vermag der Tod eines Beschuldigten an der zwischen den Kantonen getroffenen Gerichtsstandsabrede nichts zu ändern.</w:t>
      </w:r>
    </w:p>
    <w:p>
      <w:r>
        <w:rPr>
          <w:b/>
        </w:rPr>
        <w:t>E. 2</w:t>
      </w:r>
    </w:p>
    <w:p>
      <w:r>
        <w:t>Der Kanton, dessen Zuständigkeit feststeht, ist zur Verfolgung und Beurteilung strafbarer Handlungen nicht nur verpflichtet, sondern auch berechtigt ( Art. 351 StGB ). Diese Berechtigung schliesst insbesondere die Befugnis ein, das Strafverfahren durch Entscheid abzuschliessen. In einem solchen Entscheid ist stets auch über das endgültige Schicksal beschlagnahmter Gegenstände zu befinden (HAUSER, Grundzüge des Strafprozessrechts, S. 83; derselbe, Kurzlehrbuch des Schweiz. Strafprozessrechts, S. 177). So waren die fraglichen Vermögenswerte und Drogen in der Verfügung der Bezirksanwaltschaft Zürich vom 21. Oktober 1980 denn auch zutreffend "zu Handen des definitiv erkennenden Gerichtes einstweilen beschlagnahmt" worden. Es ist demnach offensichtlich, dass die Strafbehörden des Kantons Aargau, nicht jene des Kantons Zürich zur Einziehung zuständig sind, nachdem die aargauischen Behörden die Verfolgung und Beurteilung der von P. V. begangenen Straftaten übernommen hatten und die in Frage stehenden Gegenstände und Gelder unbestrittenermassen bei P. V. sichergestellt worden waren, wie das aus den Beschlagnahmeverfügungen hervorgeht. Insoweit war der Gerichtsstand zwischen den beiden Kantonen trotz der seinerzeit durch die Staatsanwaltschaft des Kantons Aargau erklärten Anerkennung streitig, und er ist deshalb von der Anklagekammer zu bezeichnen.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