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152</w:t>
      </w:r>
    </w:p>
    <w:p>
      <w:r>
        <w:t>Bundesgericht (BGE), 1981-01-01, DE</w:t>
      </w:r>
    </w:p>
    <w:p>
      <w:r>
        <w:rPr>
          <w:b/>
        </w:rPr>
        <w:t xml:space="preserve">Quelle: </w:t>
      </w:r>
      <w:r>
        <w:t>https://mcp.opencaselaw.ch/entscheid/bge_BGE_107_IV_152</w:t>
      </w:r>
    </w:p>
    <w:p>
      <w:r>
        <w:t>FR: ATF 107 IV 152</w:t>
      </w:r>
    </w:p>
    <w:p>
      <w:r>
        <w:t>IT: DTF 107 IV 152</w:t>
      </w:r>
    </w:p>
    <w:p>
      <w:pPr>
        <w:pStyle w:val="Heading2"/>
      </w:pPr>
      <w:r>
        <w:t>Regeste</w:t>
      </w:r>
    </w:p>
    <w:p>
      <w:r>
        <w:t>Regeste Art. 42 Ziff. 1 Abs. 1 TVG. Art. 1 Abs. 1 TVV. Wann gilt eine Sprechfunkanlage in einem Personenwagen als "erstellt"? Eine in einem Wagen montierte, mit Antenne und Handmikrofon versehene Sprechfunkanlage, die durch einen einfachen Handgriff an die Stromquelle angeschlossen werden kann (z.B. vermittels einer sog. Krokodilklemme), ist betriebsfertig im Sinne von Art. 1 Abs. 1 TVV.</w:t>
      </w:r>
    </w:p>
    <w:p>
      <w:r>
        <w:t>Regeste Art. 42 ch. 1 al. 1 LCTT. Art. 1 al. 1 OLCTT. Quand une installation radioélectrique est-elle "établie" dans une voiture? Une installation radio émettrice-réceptrice munie d'une antenne et d'un micro indépendant, montée dans une voiture et pouvant être facilement reliée à une source de courant (par exemple au moyen d'une pince crocodile), est en état de fonctionnement au sens de l'art. 1 al. 1 OLCTT.</w:t>
      </w:r>
    </w:p>
    <w:p>
      <w:r>
        <w:t>Regesto Art. 42 n. 1 cpv. 1 LCTT. Art. 1 cpv. 1 dell'ordinanza (1) della LCTT. Quando un impianto radioelettrico è "stabilito" in un'autovettura? Un impianto radioricetrasmittente munito d'antenna e di un microfono indipendente, montato su di un'autovettura e suscettibile d'essere collegato facilmente (ad esempio, mediante un coccodrillo) ad un alimentatore di corrente, è in stato d'esercizio ai sensi dell'art. 1 cpv. 1 dell'ordinanza (1) della LCTT.</w:t>
      </w:r>
    </w:p>
    <w:p>
      <w:pPr>
        <w:pStyle w:val="Heading2"/>
      </w:pPr>
      <w:r>
        <w:t>Erwägungen</w:t>
      </w:r>
    </w:p>
    <w:p>
      <w:r>
        <w:rPr>
          <w:b/>
        </w:rPr>
        <w:t>E. 3</w:t>
      </w:r>
    </w:p>
    <w:p>
      <w:r>
        <w:t>Der Beschwerdeführer besitzt unbestrittenermassen keine Konzession, die ihn zum Erstellen, Betreiben oder Benützen des beschlagnahmten Sprechfunkgeräts berechtigte. Nach der Aktenlage war die Funkanlage links neben dem Lenkrad, unter dem Armaturenbrett befestigt, mittels Kabelverbindung mit der auf dem Dach des Wagens montierten Antenne gekoppelt und ein Handmikrofon am Funkgerät angeschlossen. Zudem konnte das Gerät leichthin mit sogenannten Krokodilklemmen an den Stromkreis angeschlossen werden. Es befand sich also in betriebstauglicher Anordnung; denn ob die Inbetriebsetzung des Geräts, d.h. seine Versorgung mit Elektrizität durch Betätigung eines Schalters, eines Drehknopfs oder durch Anschliessen des Kabels an die Stromquelle vermittels eines Bananensteckers oder einer Krokodilklemme geschieht, macht unter dem Gesichtspunkt der Betriebsfertigkeit im Sinne des Art. 1 Abs. 1 TVV (SR 784.101) keinen wesentlichen Unterschied aus; auch im letzteren Fall kann die Verbindung mit der Stromquelle durch einen einfachen Handgriff leichthin hergestellt werden. Wo aber - wie im vorliegenden Fall - eine Funksprechanlage in solcher Anordnung vorgefunden wird, besteht der Verdacht einer Verletzung des Fernmelderegals, dient doch eine derartige Installation in aller Regel dem Gebrauch der Anlage. Bestanden aber nach dem Gesagten zureichende Verdachtsmomente dafür, dass der Beschwerdeführer gegen Art. 42 TVG verstossen habe, dann wurde auch begründeterweise eine Untersuchung im Sinne von Art. 37 ff. VStrR gegen ihn eröffnet.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