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150</w:t>
      </w:r>
    </w:p>
    <w:p>
      <w:r>
        <w:t>Bundesgericht (BGE), 1981-01-01, DE</w:t>
      </w:r>
    </w:p>
    <w:p>
      <w:r>
        <w:rPr>
          <w:b/>
        </w:rPr>
        <w:t xml:space="preserve">Quelle: </w:t>
      </w:r>
      <w:r>
        <w:t>https://mcp.opencaselaw.ch/entscheid/bge_BGE_107_IV_150</w:t>
      </w:r>
    </w:p>
    <w:p>
      <w:r>
        <w:t>FR: ATF 107 IV 150</w:t>
      </w:r>
    </w:p>
    <w:p>
      <w:r>
        <w:t>IT: DTF 107 IV 150</w:t>
      </w:r>
    </w:p>
    <w:p>
      <w:pPr>
        <w:pStyle w:val="Heading2"/>
      </w:pPr>
      <w:r>
        <w:t>Regeste</w:t>
      </w:r>
    </w:p>
    <w:p>
      <w:r>
        <w:t>Regeste Art. 19 Ziff. 2 lit. a BetmG. Schwerer Fall. Der Richter hat bei der Anwendung dieser Bestimmung alle möglichen gesundheitlichen Gefährdungen durch die in Art. 1 BetmG genannten Stoffe zu berücksichtigen, unbekümmert um das mehr oder weniger hohe Gefährdungspotential für den einen oder den andern der in Betracht fallenden Konsumentenkreise. Der Richter darf dem Umstand Rechnung tragen, dass Kokain nicht nur intranasal konsumiert, sondern auch intravenös appliziert wird und dass bei der letzteren Konsumart schon sehr geringe Mengen die Gesundheit gefährden können.</w:t>
      </w:r>
    </w:p>
    <w:p>
      <w:r>
        <w:t>Regeste Art. 19 ch. 2 litt a LStup. Cas grave. Lorsqu'il applique cette disposition, le juge doit prendre en considération toutes les possibilités de mise en danger de la santé humaine que présente l'utilisation des substances énumérées à l'art. 1 LStup., sans s'occuper du plus ou moins grand danger potentiel qu'elle fait courir à l'une plutôt qu'à l'autre des différentes catégories de consommateurs concernées. Il peut tenir compte du fait que la cocaïne ne se consomme pas seulement par voie nasale, mais également par voie intraveineuse et que, dans ce dernier cas, de très petites quantités suffisent déjà à mettre la santé du consommateur en danger.</w:t>
      </w:r>
    </w:p>
    <w:p>
      <w:r>
        <w:t>Regesto Art. 19 n. 2 lett. a LS. Caso grave. Nell'applicare tale disposizione, il giudice deve prendere in considerazione tutti i possibili rischi per la salute umana che comporta l'utilizzazione delle sostanze e dei preparati enumerati nell'art. 1 LS, prescindendo dal pericolo potenziale più o meno grande che essa implica per una od altra categoria particolare di consumatori interessati. Egli può tener conto del fatto che la cocaina non si consuma soltanto per via nasale, ma anche per via intravenosa e che, in quest'ultimo caso, già quantità minime bastano a mettere in pericolo la salute del consumatore.</w:t>
      </w:r>
    </w:p>
    <w:p>
      <w:pPr>
        <w:pStyle w:val="Heading2"/>
      </w:pPr>
      <w:r>
        <w:t>Erwägungen</w:t>
      </w:r>
    </w:p>
    <w:p>
      <w:r>
        <w:rPr>
          <w:b/>
        </w:rPr>
        <w:t>E. 1</w:t>
      </w:r>
    </w:p>
    <w:p>
      <w:r>
        <w:t>... b) Die Rüge der Verletzung von Art. 19 Ziff. 2 lit. a BetmG ist unbegründet. Kokain ist ein schweres Rauschgift, dessen Gefährlichkeit für die menschliche Gesundheit vermittels seiner Einreihung unter die abhängigkeitserzeugenden Stoffe ( Art. 1 Abs. 1 BetmG ) vom Gesetzgeber für den Richter verbindlich bejaht worden ist (s. BGE 106 IV 230 ). Nach den auf die gutachtlichen Berichte gestützten Feststellungen der Vorinstanz ist Kokain deutlich gefährlicher als Haschisch und liegt es bezüglich des Gefährlichkeitsgrades dem Heroin näher als dem Haschisch. Bei Menschen zwischen 30-45 Jahren ist zwar im allgemeinen das Gesundheitsrisiko geringer als bei Jugendlichen. Doch wurde vom Experten darauf hingewiesen, dass es hier keine "Regelmässigkeiten", keine "Gesetzmässigkeiten" gibt, indem kleine Mengen für den einen ausserordentlich gefährlich sein können, während grössere Dosen bei anderen zu keiner toxischen Erscheinung führen. Diese Ungewissheit gebietet, in der Anwendung des Gesetzes alle möglichen gesundheitlichen Gefährdungen durch die in Art. 1 Abs. 1 BetmG genannten Stoffe zu berücksichtigen, unbekümmert um das mehr oder weniger hohe Gefährdungspotential für den einen oder den anderen der in Betracht fallenden Konsumentenkreise. Entsprechend hat ja auch der Gesetzgeber selber nicht zwischen BGE 107 IV 150 S. 152 harten und leichten Drogen unterschieden ( BGE 106 IV 231 ). Vom gleichen Grundgedanken hat sich der Richter bei Beantwortung der Frage nach der Menge eines bestimmten Rauschgiftes leiten zu lassen, durch die die Gesundheit einer Vielzahl von Menschen gefährdet werden kann. Das Obergericht hielt sich deshalb im Rahmen des Gesetzes, wenn es im vorliegenden Fall jene kritische Menge nicht nach der für den intranasalen Genuss von Kokain üblichen höheren Konsumeinheit von 0,5-1 g, sondern in Berücksichtigung der Tatsache bemessen hat, dass Kokain auch intravenös appliziert wird und dass bei dieser viel gefährlicheren Konsumart jene Einheit eine bedeutend geringere ist. Geht man aber davon aus und zieht man in Betracht, dass psychopathologische Folgeerscheinungen bei einem intranasalen Konsum von 0,5-1 g täglich bereits nach drei Monaten eintreten, und nach dem Gesagten bei intravenöser Applikation erheblich kleinere Dosen eine entsprechende Wirkung zeitigen können, dann ist die Feststellung der Vorinstanz nicht zu beanstanden, dass eine Menge Kokain von ca. 580 g durchaus ausreicht, um damit eine Vielzahl von Menschen zu versorgen und deren Gesundheit in Gefahr zu bringen. H. wurde deshalb zu Recht nach Art. 19 Ziff. 2 lit. a BetmG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