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146</w:t>
      </w:r>
    </w:p>
    <w:p>
      <w:r>
        <w:t>Bundesgericht (BGE), 1966-09-11, DE</w:t>
      </w:r>
    </w:p>
    <w:p>
      <w:r>
        <w:rPr>
          <w:b/>
        </w:rPr>
        <w:t xml:space="preserve">Quelle: </w:t>
      </w:r>
      <w:r>
        <w:t>https://mcp.opencaselaw.ch/entscheid/bge_BGE_107_IV_146</w:t>
      </w:r>
    </w:p>
    <w:p>
      <w:r>
        <w:t>FR: ATF 107 IV 146</w:t>
      </w:r>
    </w:p>
    <w:p>
      <w:r>
        <w:t>IT: DTF 107 IV 146</w:t>
      </w:r>
    </w:p>
    <w:p>
      <w:pPr>
        <w:pStyle w:val="Heading2"/>
      </w:pPr>
      <w:r>
        <w:t>Regeste</w:t>
      </w:r>
    </w:p>
    <w:p>
      <w:r>
        <w:t>Regeste Art. 106 Abs. 3 SVG, § 15 Abs. 1 des zürcherischen Gesetzes über die Verkehrsabgaben und den Vollzug des Strassenverkehrsrechtes des Bundes vom 11. September 1966. Kantonalrechtliche Pflicht des Fahrzeughalters gegenüber der Polizei zur Bekanntgabe des Lenkers seines Fahrzeugs. Die dem Fahrzeughalter gemäss § 15 Abs. 1 des genannten zürcherischen Gesetzes auferlegte Pflicht, der Polizei Auskunft zu geben, wer das Fahrzeug geführt oder wem er es überlassen hat, ist ausschliesslich strafprozessualer Natur und stellt keine der Rechtssetzungskompetenz der Kantone entzogene Vorschrift des Strassenverkehrsrechts des Bundes dar (E. 2b, 3).</w:t>
      </w:r>
    </w:p>
    <w:p>
      <w:r>
        <w:t>Regeste Art. 106 al. 3 LCR, § 15 al. 1 de la loi zurichoise concernant la perception de taxes routières et l'application du droit fédéral de la circulation routière du 11 septembre 1966. Obligation incombant au détenteur d'un véhicule, en vertu d'une disposition de droit cantonal, d'annoncer à la police le nom du conducteur de son véhicule. L'obligation incombant au détenteur d'un véhicule, en vertu du § 15 al. 1 de la loi zurichoise précitée, d'indiquer à la police qui se trouvait au volant de son véhicule ou à qui celui-ci avait été confié, est de nature purement procédurale et la disposition sur laquelle elle se fonde ne constitue pas une règle du droit fédéral de la circulation routière soustraite à la compétence des cantons (consid. 2b, 3).</w:t>
      </w:r>
    </w:p>
    <w:p>
      <w:r>
        <w:t>Regesto Art. 106 cpv. 3 LCS, § 15 cpv. 1 della legge zurighese dell'11 settembre 1966 concernente le tasse di circolazione e l'applicazione del diritto federale sulla circolazione stradale. Obbligo incombente al detentore di un veicolo, in virtù di una disposizione del diritto cantonale, di rendere noto alla polizia il nome del conducente del proprio veicolo. L'obbligo incombente al detentore di un veicolo, in virtù del § 15 cpv. 1 della legge zurighese sopra menzionata, d'indicare alla polizia chi si trovava alla guida del suo veicolo o a chi aveva affidato quest'ultimo, ha natura meramente procedurale; la disposizione su cui si fonda non costituisce pertanto una norma del diritto federale sulla circolazione stradale, sottratta come tale alla competenza dei cantoni (consid. 2b, 3).</w:t>
      </w:r>
    </w:p>
    <w:p>
      <w:pPr>
        <w:pStyle w:val="Heading2"/>
      </w:pPr>
      <w:r>
        <w:t>Erwägungen</w:t>
      </w:r>
    </w:p>
    <w:p>
      <w:r>
        <w:rPr>
          <w:b/>
        </w:rPr>
        <w:t>E. 1</w:t>
      </w:r>
    </w:p>
    <w:p>
      <w:r>
        <w:t>Der Beschwerdeführer macht geltend, mit dem Erlass des § 15 Abs. 1 des kantonalen Gesetzes über die Verkehrsabgaben und den Vollzug des Strassenverkehrsrechtes des Bundes, welcher eine allgemeine Auskunftspflicht des Motorfahrzeughalters gegenüber der Polizei - bei Zuwiderhandlung nach § 18 mit Haft oder Busse strafbar - statuiere, habe der Kanton Zürich seine Rechtssetzungskompetenz auf dem Gebiet des Strassenverkehrs überschritten. Die Art. 3 und 106 Abs. 2 und 3 SVG , die die Befugnisse der Kantone in diesem Bereich abschliessend regelten, erlaubten jenen nicht, den Haltern von Fahrzeugen zusätzliche Pflichten zu auferlegen. Vor allem sei gemäss Art. 106 Abs. 3 SVG den Kantonen die Zuständigkeit zum Erlass ergänzender Vorschriften über den Strassenverkehr in bezug auf Motorfahrzeuge, Fahrräder sowie Eisenbahnfahrzeuge entzogen worden. Mit der Anwendung des § 15 Abs. 1 des besagten Gesetzes habe die Vorinstanz somit gegen die Art. 3 und 106 Abs. 2 und 3 SVG verstossen, mithin eidgenössisches Recht verletzt. Diese Vorbringen sind im Rahmen des vorliegenden Verfahrens zulässig. Die Rüge, zu Unrecht sei kantonales statt Bundesrecht angewendet worden, kann mit Nichtigkeitsbeschwerde an das Bundesgericht erhoben werden. Insbesondere hat der Kassationshof zu entscheiden, ob ein bestimmter Tatbestand infolge qualifizierten Schweigens des eidg. Rechts auch nicht nach kantonalem Übertretungsstrafrecht geahnet werden soll ( BGE 104 IV 290 E. 2, 107; BGE 101 IV 376 ; BGE 89 IV 95 ). Auf die Nichtigkeitsbeschwerde ist daher einzutreten.</w:t>
      </w:r>
    </w:p>
    <w:p>
      <w:r>
        <w:rPr>
          <w:b/>
        </w:rPr>
        <w:t>E. 2</w:t>
      </w:r>
    </w:p>
    <w:p>
      <w:r>
        <w:t>§ 15 Abs. 1 des zürcherischen Gesetzes über die Verkehrsabgaben und den Vollzug des Strassenverkehrsrechtes des Bundes vom 11. September 1966 lautet: "Der Halter eines Motorfahrzeuges oder Fahrrades ist verpflichtet, der Polizei Auskunft zu geben, wer das Fahrzeug geführt oder wem er es überlassen hat. Vorbehalten bleibt das Recht, der Polizei in sinngemässer Anwendung der Bestimmungen der Strafprozessordnung über das Zeugnisverweigerungsrecht die Auskunft zu verweigern." a) Nach Auffassung der Vorinstanz handelt es sich bei dieser Vorschrift um eine auf die Bedürfnisse des Strassenverkehrs zugeschnittene Bestimmung strafprozessualen Charakters. Eine effiziente Strafverfolgung auf dem Gebiet des Strassenverkehrs erfordere, dass ihre Organe jederzeit die nötigen Auskünfte erhalten BGE 107 IV 146 S. 149 könnten. Da die Zürcher Strafprozessordnung der Polizei kein Recht zur Zeugeneinvernahme einräume, brauche es strafprozessuale Normen, welche die Polizeiorgane ermächtigten, Personen unter Aussagezwang einzuvernehmen. Der umstrittene § 15 Abs. 1 verfolge einzig diesen strafprozessualen Zweck. Er diene der den Kantonen durch Art. 103 Abs. 2 SVG übertragenen Strafverfolgung. b) Es ist unverkennbar, dass der im zweiten Satz enthaltene Hinweis auf die sinngemässe Anwendung der strafprozessualen Bestimmungen über das Zeugnisverweigerungsrecht § 15 Abs. 1 formell und materiell als prozessrechtliche Norm charakterisiert. Er umschreibt lediglich die Stellung und Bedeutung des Fahrzeughalters als Beweismittel in einem Strafverfahren, das gegen den unbekannten Lenker seines Fahrzeugs geführt wird. Hingegen enthält diese kantonale Norm keine zusätzlichen, allein dem Strassenverkehrsrecht des Bundes vorbehaltenen Bestimmungen, wie der Beschwerdeführer behauptet. Verkehrsvorschriften sind Regeln, welche das Verhalten eines Verkehrsteilnehmers gegenüber anderen auf den Verkehrswegen befindlichen Personen ordnen (SCHULTZ, Rechtsprechung und Praxis zum Strassenverkehrsrecht in den Jahren 1973-1977, S. 209). Die dem Fahrzeughalter auferlegte kantonalrechtliche Pflicht, der Polizei über bestimmte Punkte Auskunft zu geben, stellt zweifelsohne keine Verkehrsvorschrift im genannten Sinne dar. Vielmehr legt § 15 Abs. 1 eine dem kantonalen Strafverfahrensrecht eigene Beweisführungsart fest. Wie das Verfahren zur Vernehmung des Auskunftspflichtigen zum eigentlichen Zeugenverhör abgegrenzt wird, steht - unter Wahrung verfassungsmässiger Grundsätze - im Belieben des zur Prozessrechtssetzung befugten Kantons (vgl. ROBERT HAUSER, Der Zeugenbeweis im Strafprozess mit Berücksichtigung des Zivilprozesses, 1974, S. 47-52, S. 85/86; HANSJÖRG TARNUTZER, Die Stellung des Beschuldigten im Bündner Strafprozess, 1972, S. 24) und könnte im übrigen mit eidgenössischer Nichtigkeitsbeschwerde nicht beanstandet werden.</w:t>
      </w:r>
    </w:p>
    <w:p>
      <w:r>
        <w:rPr>
          <w:b/>
        </w:rPr>
        <w:t>E. 3</w:t>
      </w:r>
    </w:p>
    <w:p>
      <w:r>
        <w:t>Ist aber § 15 Abs. 1 des Gesetzes über die Verkehrsabgaben und den Vollzug des Strassenverkehrsrechts des Bundes nach dem Gesagten ausschliesslich strafprozessualer Natur, hält die darin aufgestellte Aussagepflicht des Motorfahrzeughalters bzw. deren strafrechtliche Sanktionierung vor dem Bundesrecht stand. Art. 335 Abs. 2 StGB behält den Kantonen die Befugnis vor, die Übertretung kantonaler Prozessvorschriften mit Strafe zu BGE 107 IV 146 S. 150 bedrohen. Diese Kompetenz wird durch die einschlägigen Bestimmungen des Strassenverkehrsrechts des Bundes in keiner Weise eingeschränkt. Weder Art. 3 noch Art. 106 Abs. 2 und 3 SVG enthalten Vorschriften, welche die den Kantonen auch im Verkehrswesen obliegende Strafverfolgung ( Art. 103 Abs. 2 SVG ) betreffen oder den am Strafverfahren zu beteiligenden Personenkreis irgendwie begrenzen. Auch bedeutet das Fehlen entsprechender eidgenössischer Bestimmungen nicht, dass die Verweigerung der Aussagepflicht nicht zum Gegenstand eines kantonalen Übertretungstatbestandes gemacht werden dürfte; in den angeblich verletzten SVG-Bestimmungen ist kein qualifiziertes Schweigen in dem Sinne erkennbar, dass das fragliche, vom Kanton Zürich unter Strafe gestellte Verhalten überhaupt straflos zu bleiben hat.</w:t>
      </w:r>
    </w:p>
    <w:p>
      <w:r>
        <w:rPr>
          <w:b/>
        </w:rPr>
        <w:t>E. 4</w:t>
      </w:r>
    </w:p>
    <w:p>
      <w:r>
        <w:t>Mit dem Erlass der streitigen kantonalen Strafnorm wurde der Grundsatz der derogatorischen Kraft des Bundesrechts demnach nicht verletzt. Daher ist gegen die im angefochtenen Urteil gestützt auf § 15 Abs. 2 des Gesetzes über die Verkehrsabgaben und den Vollzug des Strassenverkehrsrechts des Bundes ausgefällte Busse jedenfalls von Bundesrechts wegen nichts einzuwenden.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