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41</w:t>
      </w:r>
    </w:p>
    <w:p>
      <w:r>
        <w:t>Bundesgericht (BGE), 1981-01-01, DE</w:t>
      </w:r>
    </w:p>
    <w:p>
      <w:r>
        <w:rPr>
          <w:b/>
        </w:rPr>
        <w:t xml:space="preserve">Quelle: </w:t>
      </w:r>
      <w:r>
        <w:t>https://mcp.opencaselaw.ch/entscheid/bge_BGE_107_II_41</w:t>
      </w:r>
    </w:p>
    <w:p>
      <w:r>
        <w:t>FR: ATF 107 II 41</w:t>
      </w:r>
    </w:p>
    <w:p>
      <w:r>
        <w:t>IT: DTF 107 II 41</w:t>
      </w:r>
    </w:p>
    <w:p>
      <w:pPr>
        <w:pStyle w:val="Heading2"/>
      </w:pPr>
      <w:r>
        <w:t>Regeste</w:t>
      </w:r>
    </w:p>
    <w:p>
      <w:r>
        <w:t>Regeste Gutgläubiger Eigentumserwerb, Eigentumsvorbehalt. Ist der Gebrauchtwagenhändler unter dem Gesichtspunkt von Art. 3 Abs. 2 ZGB gehalten, sich vor dem Kauf eines Autos durch Einsicht ins Eigentumsvorbehaltsregister davon zu überzeugen, dass der Verfügungsbefugnis des Verkäufers kein Eigentumsvorbehalt entgegensteht? Die Frage ist jedenfalls dann zu bejahen, wenn der Kaufpreis ungewöhnlich tief ist.</w:t>
      </w:r>
    </w:p>
    <w:p>
      <w:r>
        <w:t>Regeste Protection de l'acquéreur de bonne foi; réserve de propriété. L'art. 3 al. 2 CC oblige-t-il le marchand de voitures d'occasion à s'assurer, par la consultation du registre, que le véhicule qui lui est proposé n'est pas grevé d'une réserve de propriété et soustrait de ce fait au pouvoir de disposition du vendeur? On doit l'admettre en tout cas lorsque le prix demandé est exeptionnellement bas.</w:t>
      </w:r>
    </w:p>
    <w:p>
      <w:r>
        <w:t>Regesto Tutela dell'acquirente di buona fede. Riserva della proprietà. L'art. 3 cpv. 2 CC obbliga il commerciante di vetture d'occasione d'assicurarsi, mediante la consultazione del registro previsto dall'art. 715 CC, che il veicolo di cui gli è proposto l'acquisto non sia gravato da una riserva della proprietà e non sia quindi sottratto al potere di disposizione del venditore? Tale obbligo sussiste in ogni caso laddove il prezzo richiesto sia eccezionalmente basso.</w:t>
      </w:r>
    </w:p>
    <w:p>
      <w:pPr>
        <w:pStyle w:val="Heading2"/>
      </w:pPr>
      <w:r>
        <w:t>Erwägungen</w:t>
      </w:r>
    </w:p>
    <w:p>
      <w:r>
        <w:rPr>
          <w:b/>
        </w:rPr>
        <w:t>E. 1</w:t>
      </w:r>
    </w:p>
    <w:p>
      <w:r>
        <w:t>Der Beklagte anerkennt, dass er der Klägerin schadenersatzpflichtig ist, sofern er sich nicht darauf berufen kann, er habe das Automobil gutgläubig erworben. Die Parteien sind sich auch darüber einig, dass der Beklagte vom rechtsgültig bestehenden Eigentumsvorbehalt keine Kenntnis hatte. Zu entscheiden bleibt somit einzig, ob ihm der gute Glaube im Sinne von Art. 3 Abs. 2 ZGB deswegen abzusprechen sei, weil er den Eigentumsvorbehalt bei Anwendung der nach den Umständen zumutbaren Aufmerksamkeit hätte kennen müssen.</w:t>
      </w:r>
    </w:p>
    <w:p>
      <w:r>
        <w:rPr>
          <w:b/>
        </w:rPr>
        <w:t>E. 2</w:t>
      </w:r>
    </w:p>
    <w:p>
      <w:r>
        <w:t>Beide kantonalen Instanzen sind davon ausgegangen, es bestehe keine allgemeine Rechtspflicht, sich vor dem Kauf einer Sache durch Einsicht ins Eigentumsvorbehaltsregister davon zu überzeugen, dass der Dispositionsbefugnis des Verkäufers nicht ein Eigentumsvorbehalt entgegenstehe. Das ist zwar dem Grundsatz nach zutreffend; doch wird von namhaften Autoren die Auffassung vertreten, ein Kaufmann, der gewerbsmässig mit Occasionsautomobilen handle, sei unter dem Gesichtspunkt von Art. 3 Abs. 2 ZGB gehalten, vor dem Erwerb eines Gebrauchtwagens ins Eigentumsvorbehaltsregister BGE 107 II 41 S. 43 Einsicht zu nehmen (JÄGGI, N. 125 u. 146 zu Art. 3 ZGB ; LIVER, in: Schweizerisches Privatrecht, Bd. V/I, S. 336), und es liegen auch in diese Richtung weisende kantonale Gerichtsentscheide vor (Obergericht Aargau in AGVE 1956, S. 46/47; etwas zurückhaltender das Kassationsgericht Zürich in SJZ 63/1967, S. 376). Es bestehen gute Gründe, dieser Auffassung zu folgen. Automobile pflegen häufig unter Eigentumsvorbehalt verkauft zu werden. Die unbefugte Weiterveräusserung durch den Käufer kommt ebenfalls nicht selten vor, und einem seriösen Kaufmann, der mit Gebrauchtwagen handelt, ist ohne weiteres zuzumuten, sich beim Betreibungsamt am Wohnort des Verkäufers über das Bestehen eines Eintrags im Eigentumsvorbehaltsregister zu erkundigen oder vom Verkäufer eine entsprechende Bescheinigung zu verlangen. Wie es sich damit verhält, braucht indessen im vorliegenden Fall nicht entschieden zu werden, denn auf jeden Fall ist dem Obergericht darin zu folgen, dass der vereinbarte Kaufpreis dem Beklagten Anlass zu Verdacht hätte geben müssen. Nach den für das Bundesgericht verbindlichen tatsächlichen Feststellungen des Obergerichtes, die auf einer Würdigung des von ihm eingeholten Gutachtens beruhen, betrug der Verkehrswert des Wagens im Zeitpunkt, da ihn der Beklagte kaufte, Fr. 19'250.-; der sogenannte mittlere Händlerpreis, d.h. der Betrag, den ein Händler mit Gebrauchtwagen vernünftigerweise zu zahlen bereit war, belief sich auf Fr. 16'300.- und die unterste Grenze, die noch als vertretbar betrachtet werden konnte, auf Fr. 15'500.-. Die in der Berufungsschrift gegenüber diesen Zahlen erhobenen Beanstandungen stellen eine unzulässige Kritik an der obergerichtlichen Beweiswürdigung dar. Selbstverständlich war das Obergericht berechtigt, von den Auffassungen des Experten abzuweichen. Ob es diese Abweichung ausreichend begründet habe, ist eine Tatfrage bzw. eine Frage der Beweiswürdigung, nicht eine vom Bundesgericht zu überprüfende Rechtsfrage. Geht man aber von den Zahlen aus, die das Obergericht seinem Urteil zugrunde gelegt hat, so erweist sich der dem Beklagten gegenüber erhobene Vorwurf, er hätte Verdacht schöpfen müssen, als offensichtlich zutreffend. Der von ihm bezahlte Preis lag 32% unter dem Verkehrswert, 20% unter dem mittleren Händlerpreis und immer noch 16% unter jenem Betrag, der als absolutes Minimum dessen zu betrachten war, was von einem Autohändler BGE 107 II 41 S. 44 vernünftigerweise bezahlt zu werden pflegte. In Zahlen belaufen sich die entsprechenden Differenzen auf Fr. 6'250.-. Fr. 3'300.- und Fr. 2'550.-. Der vom Obergericht angenommene Minimalpreis von Fr. 15'550.- trug bereits allen möglichen Herabsetzungsgründen Rechnung. Jede einigermassen ins Gewicht fallende Unterschreitung dieser Limite musste als ungewöhnlich erachtet werden und hätte dem Beklagten Anlass zu Misstrauen geben müssen. Mit Recht hat das Obergericht unter diesen Umständen weder den Preis, zu dem der Beklagte den Wagen weiterverkauft hat, noch auch die übrigen vom Beklagten angerufenen Umstände des Kaufgeschäftes als prozessentscheidend angesehen, so dass es darüber keinen Beweis abzunehmen brauchte. Schon der verdächtig tiefe Kaufpreis hätte den Beklagten veranlassen müssen, Einsicht in das Eigentumsvorbehaltsregister zu nehmen. Tat er dies nicht, so liess er es an der nach den Umständen gebotenen Aufmerksamkeit fehlen, weshalb ihm gemäss Art. 3 Abs. 2 ZGB die Berufung auf den guten Glauben zu versagen ist.</w:t>
      </w:r>
    </w:p>
    <w:p>
      <w:r>
        <w:rPr>
          <w:b/>
        </w:rPr>
        <w:t>E. 3</w:t>
      </w:r>
    </w:p>
    <w:p>
      <w:r>
        <w:t>Die Höhe des vom Obergericht zugesprochenen Schadenersatzes ist vor Bundesgericht nicht mehr streitig. Die Berufung erweist sich somit als offensichtlich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