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406</w:t>
      </w:r>
    </w:p>
    <w:p>
      <w:r>
        <w:t>Bundesgericht (BGE), 1981-01-01, FR</w:t>
      </w:r>
    </w:p>
    <w:p>
      <w:r>
        <w:rPr>
          <w:b/>
        </w:rPr>
        <w:t xml:space="preserve">Quelle: </w:t>
      </w:r>
      <w:r>
        <w:t>https://mcp.opencaselaw.ch/entscheid/bge_BGE_107_II_406</w:t>
      </w:r>
    </w:p>
    <w:p>
      <w:r>
        <w:t>FR: ATF 107 II 406</w:t>
      </w:r>
    </w:p>
    <w:p>
      <w:r>
        <w:t>IT: DTF 107 II 406</w:t>
      </w:r>
    </w:p>
    <w:p>
      <w:pPr>
        <w:pStyle w:val="Heading2"/>
      </w:pPr>
      <w:r>
        <w:t>Regeste</w:t>
      </w:r>
    </w:p>
    <w:p>
      <w:r>
        <w:t>Regeste Unterhaltspflicht der Eltern nach Eintritt der Mündigkeit des Kindes (Art. 277 Abs. 2 ZGB). 1. Art. 277 Abs. 2 ZGB kann auch zur Anwendung gelangen, wenn ein Kind, dem keine angemessene Berufsausbildung zuteil wurde und das während einer gewissen Zeit selbst für seinen Unterhalt aufgekommen ist, seine Erwerbstätigkeit vorübergehend aufgibt, um ein geeignetes Studium aufzunehmen, das ordentlicherweise abgeschlossen werden kann (E. 2a). 2. Die Tätigkeit eines Photoartikel-Verkäufers ohne besondere Vorbereitung oder gleichzeitigen Besuch von Fachkursen lässt sich nicht mit einer Photographenausbildung vergleichen, die ausschliesslich an einer Berufsschule durchgeführt wird (E. 2b). 3. Die Festsetzung des Unterhaltsbeitrages der Eltern liegt im Ermessen des Sachrichters: Das Bundesgericht greift nur ein bei einer Verletzung des Gebotes von Recht und Billigkeit (Art. 4 ZGB) (E. 2c).</w:t>
      </w:r>
    </w:p>
    <w:p>
      <w:r>
        <w:t>Regeste Obligation d'entretien des père et mère après la majorité de l'enfant (art. 277 al. 2 CC). 1. L'art. 277 al. 2 CC peut trouver application également si un jeune qui n'a pas reçu de formation professionnelle adéquate et a gagné sa vie pendant un certain temps abandonne momentanément son activité lucrative pour entreprendre des études appropriées, susceptibles d'être achevées dans les délais normaux. (c. 2a). 2. Une activité de vendeur de matériel photographique exercée sans préparation spéciale ni études en cours d'emploi n'est en rien comparable à une formation de photographe entreprise dans une école professionnelle (c. 2b). 3. La fixation du montant de la subvention des père et mère relève de l'appréciation du juge du fait: le Tribunal fédéral n'intervient que s'il y a eu violation des règles du droit et de l'équité (art. 4 CC) (c. 2c).</w:t>
      </w:r>
    </w:p>
    <w:p>
      <w:r>
        <w:t>Regesto Obbligo di mantenimento dei genitori dopo la maggiore età del figlio (art. 277 cpv. 2 CC) 1. L'art. 277 cpv. 2 CC può essere applicato anche qualora un giovane senza adeguata formazione professionale, che per un certo periodo ha provveduto al proprio mantenimento, abbandona transitoriamente la sua attività lucrativa per intraprendere studi appropriati, atti a concludersi in tempi normali (consid. 2a). 2. L'attività di venditore di articoli fotografici esercitata senza preparazione particolare né studi nel corso dell'impiego non è per nulla assimilabile a una formazione di fotografo intrapresa in una scuola professionale (consid. 2b). 3. La fissazione del contributo di mantenimento dei genitori dipende dall'apprezzamento del giudice investito della decisione: il Tribunale federale interviene soltanto ove vi sia stata violazione del diritto e dell'equità (art. 4 CC) (consid. 2c).</w:t>
      </w:r>
    </w:p>
    <w:p>
      <w:pPr>
        <w:pStyle w:val="Heading2"/>
      </w:pPr>
      <w:r>
        <w:t>Erwägungen</w:t>
      </w:r>
    </w:p>
    <w:p>
      <w:r>
        <w:rPr>
          <w:b/>
        </w:rPr>
        <w:t>E. 2</w:t>
      </w:r>
    </w:p>
    <w:p>
      <w:r>
        <w:t>Selon l' art. 277 CC , l'obligation d'entretien des père et mère dure jusqu'à la majorité de l'enfant (al. 1); mais, si, à sa majorité, l'enfant n'a pas achevé sa formation, les père et mère doivent, dans la mesure où les circonstances permettent de l'exiger d'eux, continuer à subvenir à son entretien jusqu'à la fin de cette formation, pour autant qu'elle soit achevée dans les délais normaux (al. 2). a) Le recourant prétend d'abord que l'intimité ne peut pas se mettre au bénéfice de l' art. 277 al. 2 CC parce qu'il a gagné sa vie entre 21 et 23 ans. Selon lui, le législateur avait en vue la situation de l'enfant qui, au moment de sa majorité, est en train d'acquérir une formation professionnelle: il a voulu éviter que l'enfant devenu majeur soit contraint d'abandonner des études en cours, par manque de moyens financiers. L' art. 277 al. 2 CC ne conférerait pas, en revanche, à celui qui a gagné sa vie pendant quelques années, puis désire entreprendre une formation sur le tard, le droit d'exiger de ses père et mère qu'ils subviennent à son entretien: dans un tel cas, affirme le recourant, les parents peuvent s'estimer déliés de toute obligation envers l'enfant. Cette argumentation ne saurait être accueillie. Si l' art. 277 al. 2 CC dit que les père et mère sont tenus de "continuer à subvenir" à l'entretien de l'enfant qui n'a pas achevé BGE 107 II 406 S. 409 sa formation à sa majorité, c'est que la disposition légale est rédigée en fonction de la situation la plus courante, à savoir celle où l'enfant a commencé ses études alors qu'il était encore mineur, mais ne les a pas terminées à sa majorité. On ne saurait toutefois déduire de ce texte, par une interprétation purement littérale, qu'un jeune qui n'a pas reçu de formation professionnelle adéquate et a gagné sa vie pendant un certain temps ne peut en aucun cas exiger de ses père et mère qu'ils subviennent à son entretien s'il abandonne momentanément son activité lucrative et entreprend sérieusement des études appropriées, susceptibles d'être achevées dans les délais normaux et correspondant à ses goûts et à ses aptitudes (cf. art. 302 al. 2 CC ). C'est sur le vu des données de chaque espèce que doit être tranchée la question de savoir si l'obligation d'entretien des père et mère subsiste en faveur d'un enfant majeur engagé dans une formation professionnelle. En l'occurrence, l'intimé a choisi de devenir photographe dès la fin de ses études secondaires. Il s'agit là d'une profession qui correspond pleinement à ses aptitudes. Mais, travaillant comme vendeur, il n'a pas pu acquérir la formation professionnelle nécessaire. Comme il avait déjà 23 ans quand il a commencé ses études, le choix de l'école parisienne se justifiait: il lui assurait une instruction spécialisée rapide. Vu ces circonstances, la cour cantonale pouvait admettre que le cas qui lui était soumis entrait dans les prévisions de l' art. 277 al. 2 CC . b) Contrairement à ce que prétend le recourant, l'intimé n'a pas déjà acquis une formation de vendeur en photographie. Il a simplement travaillé comme vendeur dans cette branche après l'obtention de son baccalauréat. Il s'agissait d'une activité lucrative exercée sans préparation spéciale ni études en cours d'emploi. Même si elle permettait d'acquérir une certaine expérience pratique dans la vente de matériel photographique, elle n'est en rien comparable à la formation de photographe que l'intimé a entreprise dans une école professionnelle. C'est à tort également que le recourant affirme que son fils n'achève pas sa formation dans les délais normaux. En effet, l'intimé ne l'a commencée qu'au moment où il est entré à l'école d'enseignement technique, où les études durent deux ans. Le recourant objecte en vain que l'intimé aurait pu réaliser des économies pendant la période où il a travaillé comme vendeur et financer lui-même une formation subséquente de photographe. Christian B. n'a exercé cette activité lucrative que durant moins de deux ans. Comme il subvenait BGE 107 II 406 S. 410 lui-même à ses besoins, il ne pouvait pas épargner une somme suffisante pour payer par la suite ses frais d'école (7200 fr. au total) et couvrir les dépenses de son entretien. c) La question décisive est, en définitive, de savoir si, eu égard à la situation financière du recourant, à son état de santé et à sa capacité réduite de travail, on peut exiger de lui une contribution de 500 fr. par mois pendant deux ans. La fixation du montant d'une rente, d'une pension ou d'une contribution relève, pour une part importante, de l'appréciation à laquelle le juge doit procéder selon les règles du droit et de l'équité ( art. 4 CC ). Le Tribunal fédéral fait montre de réserve en cette matière: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(cf. ATF 98 II 166 ). Le montant de 500 fr. arrêté en l'espèce correspond à 15% d'un revenu annuel de 40'000 fr. Selon la jurisprudence de la Chambre des recours vaudoise, c'est dans cette proportion que celui des parents divorcés auquel un enfant unique n'a pas été attribué doit contribuer aux frais d'entretien de l'enfant. Toutefois, la cour cantonale ne s'en est pas tenue à ce barème sans plus ample examen. Elle a pris en considération tous les éléments pertinents. Elle n'a pas perdu de vue que la situation matérielle du père est difficile, "pour des raisons économiques comme pour des motifs financiers", mais elle a mis en relief d'autres "circonstances de la cause (enfant défavorisé par le divorce de ses parents; pension du père, même augmentée volontairement, restée dans des mesures modestes; absence d'effort particulier du père pour la formation de son fils unique)". La cour a tenu compte également de la fortune du recourant et du fait que la contribution n'est due que pour un temps limité. Cela posé, elle pouvait, sans violer les règles du droit et de l'équité, estimer qu'il se justifie d'imposer temporairement au recourant un effort exceptionnel. Il n'y a donc pas de motif de s'écarter de son appréciation, et ce d'autant moins que la mère devra, pour aider l'intimé, faire un effort plus considérable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