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220</w:t>
      </w:r>
    </w:p>
    <w:p>
      <w:r>
        <w:t>Bundesgericht (BGE), 1981-01-01, DE</w:t>
      </w:r>
    </w:p>
    <w:p>
      <w:r>
        <w:rPr>
          <w:b/>
        </w:rPr>
        <w:t xml:space="preserve">Quelle: </w:t>
      </w:r>
      <w:r>
        <w:t>https://mcp.opencaselaw.ch/entscheid/bge_BGE_107_II_220</w:t>
      </w:r>
    </w:p>
    <w:p>
      <w:r>
        <w:t>FR: ATF 107 II 220</w:t>
      </w:r>
    </w:p>
    <w:p>
      <w:r>
        <w:t>IT: DTF 107 II 220</w:t>
      </w:r>
    </w:p>
    <w:p>
      <w:pPr>
        <w:pStyle w:val="Heading2"/>
      </w:pPr>
      <w:r>
        <w:t>Regeste</w:t>
      </w:r>
    </w:p>
    <w:p>
      <w:r>
        <w:t>Regeste Ungerechtfertigte Bereicherung. Der Anspruch auf Rückerstattung des zuviel bezahlten Werklohns ergibt sich nicht aus Vertrag, sondern aus Art. 62 ff. OR.</w:t>
      </w:r>
    </w:p>
    <w:p>
      <w:r>
        <w:t>Regeste Enrichissement illégitime. Le droit au remboursement du prix de l'ouvrage payé en trop découle non pas du contrat, mais des art. 62 ss CO.</w:t>
      </w:r>
    </w:p>
    <w:p>
      <w:r>
        <w:t>Regesto Indebito arrichimento. Il diritto alla restituzione del prezzo dell'opera pagato di troppo non deriva dal contratto, bensì dagli art. 62 segg. CO.</w:t>
      </w:r>
    </w:p>
    <w:p>
      <w:pPr>
        <w:pStyle w:val="Heading2"/>
      </w:pPr>
      <w:r>
        <w:t>Erwägungen</w:t>
      </w:r>
    </w:p>
    <w:p>
      <w:r>
        <w:rPr>
          <w:b/>
        </w:rPr>
        <w:t>E. 3</w:t>
      </w:r>
    </w:p>
    <w:p>
      <w:r>
        <w:t>Das angefochtene Urteil verkennt nicht, dass Vertrags- und nicht Bereicherungsrecht gilt, solange ein Anspruch aus BGE 107 II 220 S. 221 Vertrag geltend gemacht werden kann. Als solchen betrachtet es jedoch aufgrund von Art. 363 OR nur den Herstellungsanspruch des Bestellers und den Vergütungsanspruch des Unternehmers, nicht aber den Anspruch auf Rückerstattung des zuviel bezahlten Werklohns. Eine mögliche Novation durch beiderseitige Anerkennung des Abrechnungssaldos sei nicht behauptet worden. a) Die Beschwerdeführerin wirft dem Kantonsgerichtsausschuss vor, er setze sich über die einmütige Lehre zu den Art. 62 ff. OR hinweg und zitiere Lehrmeinungen völlig sinnwidrig. Mit den Hinweisen auf VON TUHR/PETER (S. 479 A. 33) und BECKER (N. 14 zu Art. 62 OR ) belegt der angefochtene Entscheid, dass, wer mehr geleistet hat als geschuldet, den Differenzbetrag wegen ungerechtfertigter Bereicherung zurückfordern kann. Was die Beschwerdeführerin diesbezüglich einwendet, ist haltlos. Sie vermag auch keine andere für sie sprechende Lehrmeinung anzuführen. Dass in besonderen Fällen das Gesetz selbst einen Rückerstattungsanspruch aus Vertrag begründet, so etwa auf Rückgabe des Mietgegenstandes ( Art. 271 OR ) oder auf Rückzahlung des Darlehens ( Art. 312 OR ), hilft der Beschwerdeführerin im Bereich des Werkvertrags nichts. Die Rechtsprechung behandelt z.B. die Rückforderung von zuviel bezahlten Darlehens- oder Pachtzinsen stets als Bereicherungsanspruch, nicht als Forderung aus Darlehens- oder Pachtvertrag ( BGE 64 II 135 , BGE 52 II 232 ). Im Hinblick auf eine zu Unrecht bezogene Versicherungsleistung hat das Bundesgericht ausgeführt, es gehe zwar aus dem Versicherungsvertrag hervor, dass die Leistung nicht geschuldet war, doch ergebe sich die Rückforderung nicht aus Vertrag, sondern aus Art. 62 ff. OR und unterliege daher der ein- und nicht der zweijährigen Verjährung gemäss Art. 46 VVG ( BGE 42 II 680 ). b) Nach der Beschwerde liegt es auf der Hand, dass die Akontozahlungen unter Vorbehalt der Schlussabrechnung geleistet wurden, was einen Bereicherungsanspruch ausschliesse. Dies wird nicht weiter begründet, könnte sich aber auf die Ansicht VON TUHR/PETERS (S. 484, 520) beziehen, wonach Annahme einer unter Rückforderungsvorbehalt erbrachten Leistung den Rückerstattungsanspruch zu einem vertraglichen macht. Diese Auffassung findet in der Rechtsprechung freilich keine Stütze ( BGE 32 II 637 , BGE 25 II 871 ; vgl. auch BECKER, N. 16 zu Art. 63 OR ). Zudem wäre ein solcher Vorbehalt hier nur stillschweigend erfolgt, mithin in der selbstverständlichen Meinung BGE 107 II 220 S. 222 der Parteien, dass je nach Ergebnis der Schlussabrechnung eine Rückzahlung stattfinde. Das gilt aber auch für andere Leistungen, die von einem künftigen Ereignis abhangen und mit deren Rückerstattung daher zu rechnen ist, ohne dass damit ein Vertragsanspruch begründet wird ( BGE 82 II 436 ). Die Rechtsauffassung des Ausschusses des Kantonsgerichts ist somit nicht willkürlich, sondern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