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88</w:t>
      </w:r>
    </w:p>
    <w:p>
      <w:r>
        <w:t>Bundesgericht (BGE), 1981-01-01, DE</w:t>
      </w:r>
    </w:p>
    <w:p>
      <w:r>
        <w:rPr>
          <w:b/>
        </w:rPr>
        <w:t xml:space="preserve">Quelle: </w:t>
      </w:r>
      <w:r>
        <w:t>https://mcp.opencaselaw.ch/entscheid/bge_BGE_107_III_88</w:t>
      </w:r>
    </w:p>
    <w:p>
      <w:r>
        <w:t>FR: ATF 107 III 88</w:t>
      </w:r>
    </w:p>
    <w:p>
      <w:r>
        <w:t>IT: DTF 107 III 88</w:t>
      </w:r>
    </w:p>
    <w:p>
      <w:pPr>
        <w:pStyle w:val="Heading2"/>
      </w:pPr>
      <w:r>
        <w:t>Regeste</w:t>
      </w:r>
    </w:p>
    <w:p>
      <w:r>
        <w:t>Regeste Verwertung von Fahrnis im Konkurs. Art. 128 VZG ist auf die Verwertung von Fahrnis nicht analog anwendbar. Die Verwertung von retinierten Gegenständen darf daher nach der zweiten Gläubigerversammlung ohne Rücksicht auf allfällige Kollokationsprozesse über das Retentionsrecht angeordnet werden.</w:t>
      </w:r>
    </w:p>
    <w:p>
      <w:r>
        <w:t>Regeste Réalisation des biens mobiliers dans la faillite. L'art. 128 ORI n'est pas applicable par analogie à la réalisation de biens meubles. Après la seconde assemblée des créanciers, cette réalisation peut dès lors être ordonnée sans égard aux actions en contestation de l'état de collocation portant sur un droit de rétention dont les biens en cause sont l'objet.</w:t>
      </w:r>
    </w:p>
    <w:p>
      <w:r>
        <w:t>Regesto Realizzazione dei beni mobili nel fallimento. L'art. 128 RFF non è applicabile analogicamente alla realizzazione di beni mobili. Dopo la seconda adunanza dei creditori può quindi essere ordinata la realizzazione di beni su cui è stato fatto valere un diritto di ritenzione, prescindendo dall'eventuale pendenza di azioni con le quali sia stata impugnata la graduatoria con riferimento al diritto di ritenzione.</w:t>
      </w:r>
    </w:p>
    <w:p>
      <w:pPr>
        <w:pStyle w:val="Heading2"/>
      </w:pPr>
      <w:r>
        <w:t>Erwägungen</w:t>
      </w:r>
    </w:p>
    <w:p>
      <w:r>
        <w:rPr>
          <w:b/>
        </w:rPr>
        <w:t>E. 1</w:t>
      </w:r>
    </w:p>
    <w:p>
      <w:r>
        <w:t>Nach Art. 243 Abs. 3 SchKG werden die zur Masse gehörenden Vermögensstücke grundsätzlich nach der zweiten Gläubigerversammlung verwertet. Handelt es sich um Sachen, die einer schnellen Wertverminderung ausgesetzt sind oder einen kostspieligen Unterhalt erfordern, oder um Gegenstände, die einen Börsen- oder Marktpreis haben, so darf die Verwertung nach Art. 243 Abs. 2 SchKG sofort angeordnet werden. Die Verwertung von Grundstücken darf dagegen nach Art. 128 Abs. 1 VZG selbst im Falle der Dringlichkeit erst stattfinden, wenn allfällige Kollokationsprozesse über geltend gemachte Pfandrechte oder andere beschränkte dingliche Rechte rechtskräftig erledigt sind. In BGE 53 III 12 ff. hat das Bundesgericht entschieden, Art. 128 VZG sei analog auch auf die Verwertung von Fahrnis anzuwenden; ein Konkursgläubiger, der ein Fahrnispfandrecht angemeldet habe, jedoch damit nicht zugelassen werde, könne daher regelmässig Verschiebung der Versteigerung des beanspruchten Pfandgegenstandes bis nach Erledigung des Kollokationsprozesses verlangen. Diese Rechtsprechung wurde indessen in BGE 71 III 72 ff. aufgegeben. Wohl bezog sich dieser Entscheid nur auf einen Fall von Dringlichkeit der Verwertung wegen drohender Wertverminderung im Sinne von Art. 243 Abs. 2 SchKG ; der Grundsatz der Nichtanwendbarkeit von Art. 128 VZG auf die Fahrnisverwertung wurde darin aber mit Recht ganz allgemein aufgestellt. Diese Bestimmung beruht auf der Überlegung, dass bei der Verwertung von Grundstücken nur dann ein ihrem wahren Wert entsprechender Erlös erzielt werden kann, wenn Klarheit über die zu überbindenden Lasten besteht. Da bei der Fahrnisverwertung im Konkurs kein Lastenverzeichnis aufgestellt wird und keine Lasten überbunden werden, fehlt es daher an einer inneren Rechtfertigung für die analoge Anwendung von Art. 128 VZG ( BGE 71 III 73 ). Solange der Kollokationsprozess dauert, ist der Pfandansprecher freilich im Ungewissen, ob er ein Interesse BGE 107 III 88 S. 91 daran hat, an der Versteigerung mitzubieten, und ob er gegebenenfalls den Steigerungspreis mit seiner Pfandforderung verrechnen kann. Auf diesen Gesichtspunkt kann es jedoch nicht entscheidend ankommen ( BGE 71 III 73 /74). Die VZG findet schon ihrem Wortlaut nach nur auf die Verwertung von Grundstücken Anwendung. Eine analoge Anwendung von in ihr enthaltenen Bestimmungen auf die Fahrnisverwertung kann nur dort in Frage kommen, wo eine solche sich zwingend aufdrängt; sie ist insbesondere dann problematisch, wenn eine Vorschrift der VZG den Gesetzestext einschränkt, wie das hier im Verhältnis zwischen Art. 128 VZG und Art. 243 Abs. 3 SchKG der Fall ist. Im vorliegenden Fall hat die zweite Gläubigerversammlung bereits stattgefunden. Die Konkursverwaltung ist daher auch ohne Dringlichkeit berechtigt, die Verwertung der retinierten Gegenstände anzuordnen, obwohl der Kollokationsprozess über die durch die Retention gesicherten Mietzinsforderungen noch nicht erledigt ist. Auf die Vereinbarung vom 20. Dezember 1979 kann sich der Rekurrent nicht berufen, da die Verwertung, wenn die analoge Anwendbarkeit von Art. 128 VZG auf die Fahrnisverwertung verneint wird, innerhalb des ordentlichen Ablaufs des Konkursverfahrens erfolgt. Der Rekurs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