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84</w:t>
      </w:r>
    </w:p>
    <w:p>
      <w:r>
        <w:t>Bundesgericht (BGE), 1981-01-01, IT</w:t>
      </w:r>
    </w:p>
    <w:p>
      <w:r>
        <w:rPr>
          <w:b/>
        </w:rPr>
        <w:t xml:space="preserve">Quelle: </w:t>
      </w:r>
      <w:r>
        <w:t>https://mcp.opencaselaw.ch/entscheid/bge_BGE_107_III_84</w:t>
      </w:r>
    </w:p>
    <w:p>
      <w:r>
        <w:t>FR: ATF 107 III 84</w:t>
      </w:r>
    </w:p>
    <w:p>
      <w:r>
        <w:t>IT: DTF 107 III 84</w:t>
      </w:r>
    </w:p>
    <w:p>
      <w:pPr>
        <w:pStyle w:val="Heading2"/>
      </w:pPr>
      <w:r>
        <w:t>Regeste</w:t>
      </w:r>
    </w:p>
    <w:p>
      <w:r>
        <w:t>Regeste Art. 242 SchKG, 45 ff. KOV; Aussonderungsverfahren. 1. Die Konkursverwaltung verfügt nach Ablauf der Eingabefrist über die Herausgabe von Sachen, welche sich in der Verfügungsgewalt der Masse befinden und von einem Dritten zu Eigentum angesprochen werden (Art. 242 Abs. 1 SchKG und 45 KOV): Entweder bestreitet sie den Anspruch des Dritten und setzt diesem unverzüglich eine Frist von zehn Tagen zur Anhebung der Klage an (Art. 242 Abs. 2 SchKG und 46 KOV) oder sie anerkennt ihn und gibt dem Dritten von ihrer Verfügung erst Kenntnis, wenn feststeht, dass die zweite Gläubigerversammlung nichts anderes beschlossen oder kein Gläubiger die Abtretung der Ansprüche der Masse auf den Gegenstand verlangt hat (Art. 47 ff. KOV) (E. 2). 2. Eigentumsansprache an einer Sache, an der zugleich ein Retentionsrecht geltend gemacht wird (Art. 53 KOV): Die Konkursverwaltung hat sich erst dann über das Retentionsrecht auszusprechen, wenn das die Eigentumsansprache abweisende Urteil in Rechtskraft erwachsen ist; bleibt die Eigentumsansprache unbestritten, so hat sich die Konkursverwaltung nicht mit dem allfälligen Streit zwischen dem Drittansprecher und dem Gläubiger, der das Retentionsrecht geltend macht, zu befassen (E. 3).</w:t>
      </w:r>
    </w:p>
    <w:p>
      <w:r>
        <w:t>Regeste Art. 242 LP, art. 45 ss OOF; procédure de revendication. 1. L'administration de la faillite statue après l'échéance du délai de production des créances sur les revendications de propriété portant sur des biens détenus par la masse (art. 242 al. 1 LP, art. 45 OOF): ou bien elle conteste les prétentions du tiers et lui fixe incontinent un délai de dix jours pour ouvrir action (art. 242 al. 2 LP, art. 46 OOF), ou bien elle reconnaît ces prétentions et elle le fait savoir au tiers après s'être assurée de ce que la seconde assemblée des créanciers n'a pas décidé en sens contraire et qu'aucun créancier n'a requis la cession des droits de la masse sur le bien revendiqué (art. 47 ss OOF) (consid. 2). 2. Concours d'une revendication de propriété et de l'exercice d'un droit de rétention sur un même bien (art. 53 OOF): l'administration de la faillite ne se prononce sur le droit de rétention qu'après l'entrée en force du jugement qui déboute le tiers de sa revendication de propriété; si la revendication n'est pas contestée, l'administration n'a pas à s'occuper du litige qui peut surgir entre le tiers revendiquant et le créancier qui exerce un droit de rétention (consid. 3).</w:t>
      </w:r>
    </w:p>
    <w:p>
      <w:r>
        <w:t>Regesto Art. 242 LEF, 45 segg. RUF; procedura di rivendicazione. 1. L'amministrazione del fallimento decide dopo la scadenza del termine per l'insinuazione dei crediti sulle rivendicazioni della proprietà di beni detenuti dalla massa (art. 242 cpv. 1 LEF e 45 RUF): ovvero essa contesta la pretesa del terzo e gli fissa immediatamente un termine di dieci giorni per il promovimento dell'azione civile (art. 242 cpv. 2 LEF e 46 RUF), ovvero la riconosce e ne dà comunicazione al terzo dopo avere accertato che la seconda assemblea dei creditori non ha deciso in senso contrario e che nessun creditore ha chiesto la cessione delle pretese della massa sulla cosa rivendicata (art. 47 segg. RUF) (consid. 2). 2. Concorrenza fra diritto di proprietà e diritto di ritenzione sul medesimo bene (art. 53 RUF): l'amministrazione del fallimento può pronunciarsi sul diritto di ritenzione solo dopo la crescita in giudicato della sentenza che respinge la rivendicazione del terzo; se la rivendicazione rimane incontestata, l'amministrazione del fallimento non deve occuparsi della lite che può sorgere tra il terzo rivendicante e il creditore che fa valere un diritto di ritenzione (consid. 3).</w:t>
      </w:r>
    </w:p>
    <w:p>
      <w:pPr>
        <w:pStyle w:val="Heading2"/>
      </w:pPr>
      <w:r>
        <w:t>Erwägungen</w:t>
      </w:r>
    </w:p>
    <w:p>
      <w:r>
        <w:rPr>
          <w:b/>
        </w:rPr>
        <w:t>E. 2</w:t>
      </w:r>
    </w:p>
    <w:p>
      <w:r>
        <w:t>L'amministrazione del fallimento decide circa la restituzione delle cose rivendicate da un terzo ( art. 242 cpv. 1 LEF ). Queste decisioni, se le cose rivendicate sono detenute dalla massa, devono essere prese dopo la scadenza del termine per l'insinuazione dei crediti previsto dall' art. 232 cpv. 2 n. 2 LEF ( art. 45 RUF ). In sostanza l'amministrazione del fallimento ha due possibilità: ovvero contesta la pretesa del terzo, ovvero la riconosce. Nella prima ipotesi essa deve fissare al terzo rivendicante, subito dopo la scadenza del termine d'insinuazione, un termine di dieci giorni per promuovere l'azione civile, conformemente agli art. 242 cpv. 2 LEF e 46 RUF; nella seconda eventualità essa deve procedere secondo gli art. 47 segg. RUF, segnatamente dilazionando la comunicazione della decisione e la restituzione della cosa al terzo rivendicante fino al momento in cui è accertato che la seconda assemblea dei creditori non ha preso una decisione contraria e che nessun creditore ha chiesto la cessione delle pretese della massa sulla cosa rivendicata, in conformità con l' art. 260 LEF . Infine, se la pretesa del terzo è contestata e la massa non è detentrice della cosa rivendicata, spetta alla massa, o a eventuali creditori cessionari, di promuovere l'azione contro il terzo, senza essere vincolata all'osservanza di un termine ( DTF 99 III 14 /15, DTF 93 III 102 e riferimenti; AMONN, Grundriss des Schuldbetreibungs- und Konkursrechts, pag. 334 segg.). Nel caso concreto l'UEF, com'è facilmente desumibile dallo scambio di corrispondenza avvenuto con la ricorrente e dalle osservazioni al reclamo presentate all'autorità di vigilanza, ha inteso unicamente BGE 107 III 84 S. 87 rinviare la decisione sulla rivendicazione della proprietà avanzata dalla G. S.A. fino al deposito della graduatoria. Verosimilmente esso intendeva quindi riconoscere la pretesa della rivendicante: l'autorità di vigilanza sbaglia laddove asserisce il contrario. In queste circostanze, in applicazione delle norme di cui si è detto, la comunicazione della decisione dell'amministrazione del fallimento e la restituzione del furgone al terzo rivendicante potevano avvenire solo dopo la seconda assemblea dei creditori; la G. S.A. non invoca la ricorrenza delle circostanze eccezionali che potrebbero giustificare l'immediata restituzione della cosa rivendicata ( art. 51 RUF ). Ne discende che la sentenza impugnata, nella misura in cui invita l'UEF a fissare alla ricorrente un termine per il promovimento dell'azione di rivendicazione, viola il diritto federale e dev'essere annullata. Il reclamo presentato all'autorità di vigilanza avrebbe dovuto essere respinto. È comunque manifestamente infondata l'argomentazione della ricorrente secondo la quale i beni su cui un terzo fa valere una riserva di proprietà non possono essere pignorati (cfr. art. 95 cpv. 3 LEF : JAEGER, art. 91 n. 7). Essendo pignorabili, sia pure quale ultima risorsa, questi beni fanno di regola parte della massa fallimentare ( art. 197 cpv. 1 LEF ). I diritti di proprietà dei terzi sono garantiti, appunto, dalla procedura di rivendicazione sopra descritta (cfr. DTF 90 III 22 /23 con i riferimenti alle circolari del Tribunale federale).</w:t>
      </w:r>
    </w:p>
    <w:p>
      <w:r>
        <w:rPr>
          <w:b/>
        </w:rPr>
        <w:t>E. 3</w:t>
      </w:r>
    </w:p>
    <w:p>
      <w:r>
        <w:t>Nel frattempo, il 10 settembre 1981, l'UEF ha comunicato alla ricorrente che l'amministrazione del fallimento riconosce la rivendicazione di proprietà sul furgone Unimog-Ruthmann, precisando nel contempo che la restituzione potrà avvenire solo dieci giorni dopo la seconda assemblea dei creditori. L'UEF ha inoltre segnalato alla ricorrente che la graduatoria sarebbe stata pubblicata il 16 settembre successivo ed ha attirato la sua attenzione sugli art. 249/250 LEF. Questo scritto è posteriore all'emanazione del giudizio impugnato; tuttavia, dal momento che la sentenza dell'autorità di vigilanza deve essere annullata, esso può essere preso in considerazione. La comunicazione del 10 settembre 1981 è in primo luogo la conferma del fatto che l'amministrazione del fallimento non intendeva contestare la pretesa della rivendicante; in secondo luogo essa mostra che l'UEF intende proseguire correttamente la procedura, conformemente alle disposizioni commentate nel considerando precedente. In concreto il diritto di proprietà BGE 107 III 84 S. 88 rivendicato dalla G. S.A. è in concorrenza con il diritto di ritenzione della I. S.A.; la fattispecie è prevista dall' art. 53 RUF . Se anche la seconda assemblea dei creditori dovesse riconoscere la pretesa della rivendicante e nessun creditore dovesse chiedere la cessione dei diritti della massa, l'amministrazione del fallimento non dovrà occuparsi della lite che potesse eventualmente insorgere fra il terzo che ha rivendicato la proprietà della cosa e il creditore che vanta sopra di essa un diritto di pegno. Se invece la rivendicazione dovesse condurre a un processo - a causa del mancato riconoscimento da parte della seconda assemblea dei creditori o di un creditore cessionario - l'amministrazione del fallimento potrà pronunciarsi sul diritto di ritenzione solo dopo la crescita in giudicato della sentenza che respinge la rivendicazione del terzo. In questo caso la decisione dell'amministrazione si concreterà nella forma di un'aggiunta alla graduatoria. Pertanto, le argomentazioni ricorsuali concernenti l'esistenza del diritto di ritenzione della I. S.A. sono, nella presente procedura, affatto impertinenti.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