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73</w:t>
      </w:r>
    </w:p>
    <w:p>
      <w:r>
        <w:t>Bundesgericht (BGE), 1981-01-01, DE</w:t>
      </w:r>
    </w:p>
    <w:p>
      <w:r>
        <w:rPr>
          <w:b/>
        </w:rPr>
        <w:t xml:space="preserve">Quelle: </w:t>
      </w:r>
      <w:r>
        <w:t>https://mcp.opencaselaw.ch/entscheid/bge_BGE_107_III_73</w:t>
      </w:r>
    </w:p>
    <w:p>
      <w:r>
        <w:t>FR: ATF 107 III 73</w:t>
      </w:r>
    </w:p>
    <w:p>
      <w:r>
        <w:t>IT: DTF 107 III 73</w:t>
      </w:r>
    </w:p>
    <w:p>
      <w:pPr>
        <w:pStyle w:val="Heading2"/>
      </w:pPr>
      <w:r>
        <w:t>Regeste</w:t>
      </w:r>
    </w:p>
    <w:p>
      <w:r>
        <w:t>Regeste Pfändung. 1. Der Betreibungsbeamte kann bei der Pfändung vom Schuldner nicht verlangen, dass dieser sich über die Verwendung von Geldbeträgen ausweist, die er möglicherweise vor Jahren besessen hat (E. 3). 2. Behauptet der Gläubiger, dem Schuldner stehe eine Forderung zu, so ist diese auch dann zu pfänden, wenn deren Bestand bestritten ist. Pfändung einer Ersatzforderung einer Ehefrau gegenüber ihrem Ehemann für eingebrachtes Frauengut (E. 4).</w:t>
      </w:r>
    </w:p>
    <w:p>
      <w:r>
        <w:t>Regeste Saisie. 1. Le préposé à l'Office des poursuites ne peut pas, lors de la saisie, exiger du débiteur qu'il justifie de l'emploi de sommes qu'il a peut-être eues en main plusieurs années auparavant (consid. 3). 2. Si le créancier affirme que le débiteur est titulaire d'une créance, celle-ci doit être saisie même si son existence est contestée. Saisie d'une créance en restitution d'apports d'une femme contre son mari (consid. 4).</w:t>
      </w:r>
    </w:p>
    <w:p>
      <w:r>
        <w:t>Regesto Pignoramento. 1. L'ufficiale delle esecuzioni non può, in occasione del pignoramento, esigere dal debitore che giustifichi l'utilizzazione di somme da lui possedute eventualmente vari anni prima (consid. 3). 2. Qualora il creditore affermi che il debitore è titolare di un credito, questo va pignorato anche se la sua esistenza sia contestata. Pignoramento di un credito a favore di una moglie e a carico del marito per restituzione di apporti (consid. 4).</w:t>
      </w:r>
    </w:p>
    <w:p>
      <w:pPr>
        <w:pStyle w:val="Heading2"/>
      </w:pPr>
      <w:r>
        <w:t>Erwägungen</w:t>
      </w:r>
    </w:p>
    <w:p>
      <w:r>
        <w:rPr>
          <w:b/>
        </w:rPr>
        <w:t>E. 3</w:t>
      </w:r>
    </w:p>
    <w:p>
      <w:r>
        <w:t>Der Rekurs ist insoweit als unbegründet abzuweisen, als die Rekurrenten verlangen, das Betreibungsamt Brusio sei anzuweisen, von der Schuldnerin Belege darüber zu verlangen, dass sie den angeblich aus Erbschaft erhaltenen Betrag von Fr. 66'774.25 für Anwaltskosten und Spesen verwendet habe. Die von den Rekurrenten in diesem Zusammenhang erhobene Rüge, das Betreibungsamt habe die Verhältnisse bei der Schuldnerin nicht genügend abgeklärt, geht fehl. Der Betreibungsbeamte kann von einem Schuldner nicht verlangen, dass er sich über die Verwendung von Geldbeträgen, die er möglicherweise vor Jahren besessen hat, ausweist. Ein solches Vorgehen würde übrigens auch zu nichts führen. Wenn der Schuldner keine Belege vorlegen könnte, so hätte der Betreibungsbeamte ja deswegen doch keine Möglichkeit, Vermögenswerte, deren Vorhandensein er nicht feststellen kann, zu pfänden. Er kann nichts anderes tun, als auf die Angaben des Schuldners abstellen, wenn ihm nicht aus Angaben des Gläubigers oder auf andere Weise bekannt wird, dass und welche Vermögenswerte der Schuldner besitzt. Dieser ist bei Straffolge ( Art. 164 Ziff. 1 Abs. 3 StGB ) zu vollständigen und lückenlosen Angaben verpflichtet. Was das Amt im vorliegenden Falle mehr hätte tun können, ist jedenfalls nicht einzusehen. Übrigens behaupten ja die Rekurrenten selbst nicht, die Schuldnerin sei noch im Besitze des geerbten Geldes, sondern sie machen vielmehr geltend, sie habe dieses in Liegenschaften des Ehemannes investiert und es stehe ihr dafür eine Frauenguts-Ersatzforderung zu. BGE 107 III 73 S. 75</w:t>
      </w:r>
    </w:p>
    <w:p>
      <w:r>
        <w:rPr>
          <w:b/>
        </w:rPr>
        <w:t>E. 4</w:t>
      </w:r>
    </w:p>
    <w:p>
      <w:r>
        <w:t>Insoweit, als die Rekurrenten die Pfändung dieser Frauenguts-Ersatzforderung verlangen, ist ihr Rekurs dagegen begründet. Die Vorinstanz hat zu diesem Begehren in ihrem Entscheid überhaupt nicht Stellung genommen. Wenn der Gläubiger behauptet, dem Schuldner stehe eine Forderung zu, so ist diese auch dann zu pfänden, wenn der betriebene Schuldner oder der angebliche dritte Schuldner dieser Forderung deren Bestand bestreiten. Die Forderung ist dann als bestrittene Forderung zu pfänden (vgl. dazu BGE 85 II 361 /362, BGE 82 III 130 , BGE 81 III 18 /19 mit weiteren Hinweisen). Zwar wird eine Frauenguts-Ersatzforderung normalerweise erst mit der Aufhebung der Güterverbindung fällig ( Art. 209 Abs. 1 ZGB ). Davon sieht indessen Art. 175 Abs. 1 ZGB eine Ausnahme vor. Kommen die Gläubiger eines Ehegatten bei der Betreibung auf Pfändung zu Verlust, so werden dessen Ansprüche an den andern Ehegatten fällig und können gepfändet werden. Diese Voraussetzung war im vorliegenden Falle, da der Betreibungsbeamte bei der Pfändung kein anderes pfändbares Vermögen der Schuldnerin vorfinden konnte, erfüllt. Der Beamte hätte daher entsprechend dem von den Gläubigern gestellten Begehren die Ersatzforderung der Schuldnerin gegenüber ihrem Ehemann für eingebrachtes Frauengut pfänden müssen, gegebenenfalls als bestrittene Forderung, falls die Schuldnerin oder deren Ehemann den Bestand einer solchen Forderung in Abrede gestellt hätten. Das Amt wird das Versäumte nachzuholen haben. In diesem Sinn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