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w:t>
      </w:r>
    </w:p>
    <w:p>
      <w:r>
        <w:t>Bundesgericht (BGE), 1980-08-25, DE</w:t>
      </w:r>
    </w:p>
    <w:p>
      <w:r>
        <w:rPr>
          <w:b/>
        </w:rPr>
        <w:t xml:space="preserve">Quelle: </w:t>
      </w:r>
      <w:r>
        <w:t>https://mcp.opencaselaw.ch/entscheid/bge_BGE_107_III_7</w:t>
      </w:r>
    </w:p>
    <w:p>
      <w:r>
        <w:t>FR: ATF 107 III 7</w:t>
      </w:r>
    </w:p>
    <w:p>
      <w:r>
        <w:t>IT: DTF 107 III 7</w:t>
      </w:r>
    </w:p>
    <w:p>
      <w:pPr>
        <w:pStyle w:val="Heading2"/>
      </w:pPr>
      <w:r>
        <w:t>Regeste</w:t>
      </w:r>
    </w:p>
    <w:p>
      <w:r>
        <w:t>Regeste Zustellung der Betreibungsurkunden in der Betreibung gegen eine unverteilte Erbschaft (Art. 65 Abs. 3 SchKG). 1. Wer einen Zahlungsbefehl einem Miterben zustellen lässt, von dem er annimmt, dass dieser den Rechtsvorschlag unterlassen werde, während er den Miterben, von dem er mit Sicherheit einen Rechtsvorschlag zu gewärtigen hat, übergeht, handelt rechtsmissbräuchlich (E. 1). 2. Der durch den Betreibungsbeamten mündlich von der Pfändung in Kenntnis gesetzte Miterbe kann die Zustellung der Pfändungsurkunde abwarten, bevor er Beschwerde erhebt. Die Beschwerdefrist läuft vom Tag der Zustellung der Pfändungsurkunde an (E. 2).</w:t>
      </w:r>
    </w:p>
    <w:p>
      <w:r>
        <w:t>Regeste Notification des actes de poursuite dans une poursuite faite contre une succession non partagée (art. 65 al. 3 LP). 1. Commet un abus de droit celui qui fait notifier un commandement de payer à un cohéritier dont il présume qu'il ne fera pas opposition, tandis qu'il ne s'adresse pas au cohéritier de la part duquel il doit s'attendre avec certitude à une opposition (consid. 1). 2. Le cohéritier informé oralement de la saisie par le préposé peut attendre la notification du procès-verbal de saisie avant de porter plainte. Le délai de plainte court du jour de la notification du procès-verbal de saisie (consid. 2).</w:t>
      </w:r>
    </w:p>
    <w:p>
      <w:r>
        <w:t>Regesto Notificazione di atti esecutivi in un'esecuzione promossa contro un'eredità non divisa (art. 65 cpv. 3 LEF). 1. Commette un abuso di diritto chi fa notificare un precetto esecutivo a un coerede che egli presume non faccia opposizione, mentre si astiene dal notificarlo a un coerede da cui deve attendersi con certezza un'opposizione (consid. 1). 2. Il coerede informato oralmente del pignoramento dall'ufficiale delle esecuzioni può, per presentare reclamo, attendere che gli sia stato notificato il verbale di pignoramento. Il termine per il reclamo decorre dal giorno della notifica del verbale di pignoramento (consid. 2).</w:t>
      </w:r>
    </w:p>
    <w:p>
      <w:pPr>
        <w:pStyle w:val="Heading2"/>
      </w:pPr>
      <w:r>
        <w:t>Erwägungen</w:t>
      </w:r>
    </w:p>
    <w:p>
      <w:r>
        <w:rPr>
          <w:b/>
        </w:rPr>
        <w:t>E. 1</w:t>
      </w:r>
    </w:p>
    <w:p>
      <w:r>
        <w:t>Ist die Betreibung gegen eine unverteilte Erbschaft gerichtet, so erfolgt die Zustellung der Betreibungsurkunden an BGE 107 III 7 S. 10 den für die Erbschaft bestellten Vertreter oder, wenn ein solcher nicht bekannt ist, an einen der Erben ( Art. 65 Abs. 3 SchKG ). Dem Beschwerdeführer ist zuzugeben, dass grundsätzlich in einem Fall wie dem vorliegenden, wo Betreibung gegen eine unverteilte Erbschaft eingeleitet werden will, nach dem Wortlaut der zitierten Gesetzesbestimmung der Zahlungsbefehl gültig an einen der Erben zugestellt werden kann. Das Bundesgericht hat dies in seinem Kreisschreiben Nr. 16 vom 3. April 1925 bestätigt. Sache des Erben, der den Zahlungsbefehl entgegengenommen hat, ist es dann, den übrigen Erben Mitteilung zu machen oder die Interessen der Erbschaft selber zu wahren ( BGE 48 III 131 , 43 III 301). Nun ist aber der Gläubiger seinerseits verpflichtet, sich nach dem Vorhandensein eines Willensvollstreckers, Erbschaftsverwalters oder Erbenvertreters zu erkundigen, bevor er eine Betreibung gegen eine unverteilte Erbschaft einleitet ( BGE 101 III 5 , BGE 91 III 14 , BGE 71 III 163 ). Nach der für das Bundesgericht verbindlichen Feststellung der kantonalen Aufsichtsbehörde (Art. 81 i.V.m. Art. 63 Abs. 2 OG ) wusste der rekurrierende Gläubiger, dass zwischen der von ihm bezeichneten Erbenvertreterin, Frau M. B.-H., und deren Miterbe A. B.-F. ein Interessengegensatz bestand. Wenn er trotzdem den Zahlungsbefehl Frau M. B.-H. zustellen liess, von der er annahm, dass sie den Rechtsvorschlag unterlassen würde, während er A. B.-F., von dem er mit Sicherheit einen Rechtsvorschlag zu gewärtigen hatte, überging, so handelte er rechtsmissbräuchlich. Zu Recht ist deshalb die kantonale Aufsichtsbehörde von der allgemein geltenden Regel abgewichen und hat verlangt, dass angesichts der besonderen Umstände ein Zahlungsbefehl auch an den Miterben A. B.-F. hätte zugestellt werden müssen. Mit der im Rekurs aufgestellten Behauptung, er habe annehmen dürfen, Frau M. B.-H. werde ihre Miterben über den Eingang des Zahlungsbefehls unterrichten, setzt sich der Rekurrent in Widerspruch zu den verbindlichen tatsächlichen Feststellungen der Rekurskommission.</w:t>
      </w:r>
    </w:p>
    <w:p>
      <w:r>
        <w:rPr>
          <w:b/>
        </w:rPr>
        <w:t>E. 2</w:t>
      </w:r>
    </w:p>
    <w:p>
      <w:r>
        <w:t>Der Rekurrent bringt noch vor, dass die Beschwerde an das Gerichtspräsidium Münchwilen ohnehin verspätet, das heisst, nach Ablauf der zehntägigen Frist gemäss Art. 17 Abs. 2 SchKG , eingereicht worden sei. Bereits am 12. August 1980 sei nämlich A. B.-F. vom Betreibungsbeamten darüber informiert BGE 107 III 7 S. 11 worden, dass die Pfändung vollzogen worden sei. Infolgedessen sei die Beschwerdefrist am 22. August 1980 abgelaufen, während die Beschwerde von A. B.-F. erst am 25. August 1980 der Post übergeben worden sei. Damit bringt der Rekurrent ein im Verfahren vor Bundesgericht grundsätzlich nicht zulässiges Novum vor ( Art. 79 Abs. 1 Satz 2 OG ). Doch erscheint seine Darstellung, er habe von dieser Tatsache erst durch die Vernehmlassung des Betreibungsamtes S. erfahren, welche ihm gleichzeitig mit dem angefochtenen Entscheid zugestellt worden sei, glaubhaft. Auf das Vorbringen ist deshalb einzutreten. Die Auffassung des Rekurrenten erweist sich allerdings als materiell nicht begründet. Für die Berechnung der Beschwerdefrist ist nicht auf die mündliche Mitteilung durch den Betreibungsbeamten abzustellen. Vielmehr durfte A. B.-F. die Zustellung der Pfändungsurkunde abwarten und hernach in voller Kenntnis der vollzogenen Pfändung Beschwerde erheben ( BGE 65 III 70 ). Geht man davon aus, ist die Beschwerde rechtzeitig eingereicht worden. Eine Abschrift der Pfändungsurkunde wurde A. B.-F. nämlich am 13. August 1980 zugestellt. Die grundsätzlich am 23. August 1980 endende Beschwerdefrist von zehn Tagen lief, weil dies ein Samstag war, somit am Montag, den 25. August 1980, ab (BG über den Fristenlauf an Samstagen, SR 173.110.3). An diesem Tag reichte A. B.-F. seine Beschwerde an das Bezirksgerichtspräsidium Münchwilen ein.</w:t>
      </w:r>
    </w:p>
    <w:p>
      <w:r>
        <w:rPr>
          <w:b/>
        </w:rPr>
        <w:t>E. 3</w:t>
      </w:r>
    </w:p>
    <w:p>
      <w:r>
        <w:t>Der im Zusammenhang mit der Beschwerdefrist vom Rekurrenten verfochtene Standpunkt, die Betreibungshandlungen seien entgegen der Annahme der Vorinstanz nur anfechtbar (und nicht nichtig) gewesen, braucht - nachdem die Frist eingehalten ist - nicht auf seine Richtigkeit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