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49</w:t>
      </w:r>
    </w:p>
    <w:p>
      <w:r>
        <w:t>Bundesgericht (BGE), 1981-01-01, DE</w:t>
      </w:r>
    </w:p>
    <w:p>
      <w:r>
        <w:rPr>
          <w:b/>
        </w:rPr>
        <w:t xml:space="preserve">Quelle: </w:t>
      </w:r>
      <w:r>
        <w:t>https://mcp.opencaselaw.ch/entscheid/bge_BGE_107_III_49</w:t>
      </w:r>
    </w:p>
    <w:p>
      <w:r>
        <w:t>FR: ATF 107 III 49</w:t>
      </w:r>
    </w:p>
    <w:p>
      <w:r>
        <w:t>IT: DTF 107 III 49</w:t>
      </w:r>
    </w:p>
    <w:p>
      <w:pPr>
        <w:pStyle w:val="Heading2"/>
      </w:pPr>
      <w:r>
        <w:t>Regeste</w:t>
      </w:r>
    </w:p>
    <w:p>
      <w:r>
        <w:t>Regeste Betreibungsbegehren eines vollmachtlosen Stellvertreters. Das Betreibungsbegehren eines vollmachtlosen Stellvertreters ist gültig, wenn es im Beschwerdeverfahren durch den Vertretenen genehmigt wird. Muss dem Stellvertreter oder dem Vertretenen Frist zur Beibringung der Genehmigung angesetzt werden? Frage offen gelassen (E. 1, 2). Gläubigergemeinschaft bei Anleihensobligationen. Eine Betreibung im Namen sowohl der Gläubigergemeinschaft als auch sämtlicher einzelner Anleihensgläubiger ist unzulässig (E. 2).</w:t>
      </w:r>
    </w:p>
    <w:p>
      <w:r>
        <w:t>Regeste Réquisition de poursuite faite par un représentant sans procuration. La réquisition de poursuite faite par un représentant sans procuration est valable si le représenté l'approuve dans la procédure de plainte. Un délai pour produire une déclaration d'approbation doit-il être imparti au représentant ou au représenté? Question laissée indécise (consid. 1, 2). Communauté des créanciers lors d'emprunts par obligations. Il n'est pas possible d'intenter une poursuite à la fois au nom de la communauté des créanciers et de l'ensemble des créanciers de l'emprunt pris individuellement (consid. 2).</w:t>
      </w:r>
    </w:p>
    <w:p>
      <w:r>
        <w:t>Regesto Domanda d'esecuzione presentata da un rappresentante privo di procura. È valida la domanda d'esecuzione presentata da un rappresentante privo di procura se il rappresentato la ratifica nel corso della procedura di reclamo. Dev'essere fissato un termine al rappresentante o al rappresentato per la produzione della dichiarazione di ratifica? Questione lasciata indecisa (consid. 1, 2). Comunione degli obbligazionisti in caso di prestiti in obbligazioni. Non è ammissibile il promovimento di un'esecuzione in nome sia della comunione degli obbligazionisti che di ogni singolo obbligazionista (consid. 2).</w:t>
      </w:r>
    </w:p>
    <w:p>
      <w:pPr>
        <w:pStyle w:val="Heading2"/>
      </w:pPr>
      <w:r>
        <w:t>Erwägungen</w:t>
      </w:r>
    </w:p>
    <w:p>
      <w:r>
        <w:rPr>
          <w:b/>
        </w:rPr>
        <w:t>E. 1</w:t>
      </w:r>
    </w:p>
    <w:p>
      <w:r>
        <w:t>Rechtsanwalt Dr. S. ist unbestrittenermassen weder gemäss Art. 1158 OR zum Vertreter der Gemeinschaft der Anleihensgläubiger bestellt noch von den einzelnen Anleihensgläubigern direkt bevollmächtigt worden. Zwar kann die Betreibungshandlung eines vollmachtlosen Stellvertreters vom Vertretenen nachträglich genehmigt werden (vgl. BGE 97 III 115 unten bezüglich eines von einem nicht bevollmächtigten Vertreter für den Schuldner erhobenen Rechtsvorschlags). Eine solche Genehmigung hat Dr. S. im vorliegenden Beschwerdeverfahren indessen nicht beigebracht, obwohl die Betriebene seine Vertretungsbefugnis schon in ihrer Beschwerde an die untere kantonale Aufsichtsbehörde bestritten hatte. Unter diesen Umständen muss die Betreibung mangels Vertretungsbefugnis des Gläubigervertreters als BGE 107 III 49 S. 51 ungültig aufgehoben werden, da entgegen der im Rekurs vertretenen Ansicht nicht unbestimmte Zeit auf eine allfällige Genehmigung der Betreibungshandlung gewartet werden kann, mit der Folge, dass das Schicksal der Betreibung möglicherweise jahrelang in der Schwebe bliebe. Im vorliegenden Fall gilt dies umso mehr, als die in erster Linie als Gläubigerin genannte Gläubigergemeinschaft, solange ihr kein Vertreter bestellt worden ist, gar nicht als Partei im Betreibungsverfahren auftreten kann.</w:t>
      </w:r>
    </w:p>
    <w:p>
      <w:r>
        <w:rPr>
          <w:b/>
        </w:rPr>
        <w:t>E. 2</w:t>
      </w:r>
    </w:p>
    <w:p>
      <w:r>
        <w:t>Fragen kann sich bloss, ob die Vorinstanz verpflichtet gewesen wäre, dem Vertreter oder allenfalls den Vertretenen selbst eine Frist zur Beibringung der Genehmigungen bzw. der Vollmachtserklärungen anzusetzen. Wie es sich damit verhält, kann indessen dahingestellt bleiben, da zum vornherein feststeht, dass nicht sämtliche Gläubiger, die Dr. S. vertreten will, mit der Betreibung einverstanden sind. Aus dem bei den Akten liegenden Kollokationsplan geht nämlich hervor, dass die Betriebene selbst Inhaberin von Obligationen im Betrag von Fr. 251'000.-- ist. Sie wird zweifellos nicht gegen sich selbst Betreibung führen wollen. Schon deswegen ist die Betreibung ungültig. Sie kann nicht einfach mit einer anderen Gläubigerbezeichnung und für einen anderen Forderungsbetrag fortgesetzt werden. Weil die Schadenersatzforderungen der einzelnen Gläubiger ein verschiedenes Schicksal haben können, wie dieses Beispiel zeigt, können sie im übrigen ohnehin nicht in einer gemeinschaftlichen Betreibung zusammengefasst werden ( BGE 71 III 164 ff.). Auch von der Gläubigergemeinschaft als Ganzes könnte wohl innert nützlicher Frist keine Genehmigung beigebracht werden, da eine Gläubigerversammlung, die einen Vertreter der Gemeinschaft zu wählen hätte, noch nicht einmal angekündigt ist, obwohl der von der Anleihensschuldnerin vorgeschlagene Nachlassvertrag mit Vermögensabtretung bereits am 13. Januar 1979 genehmigt worden ist und somit schon lange Anlass bestanden hätte, in entsprechender Anwendung von Art. 1183 Abs. 1 OR eine solche Versammlung einzuberufen. Würde aber die Gläubigerversammlung nachträglich einen Vertreter zur Geltendmachung der Rechte der Gläubiger gegen die Betriebene ermächtigen, so hätte dies übrigens nach Art. 1159 Abs. 3 OR zur Folge, dass die einzelnen Gläubiger zur selbständigen Ausübung ihrer Rechte nicht mehr befugt wären. Daraus ergibt sich, dass die Betreibung an einem weiteren Ungültigkeitsgrund leidet: Da sich die Gläubigergemeinschaft und die einzelnen Anleihensgläubiger als Betreibungsgläubiger gegenseitig BGE 107 III 49 S. 52 ausschliessen, liegt eine unzulässige alternative Gläubigerbezeichnung vor (vgl. BGE 80 III 10 /11). Die Betreibung ist somit als ungültig aufzuheben, ohne dass geprüft werden müsste, ob die einzelnen Gläubiger im Betreibungsbegehren namentlich hätten aufgeführt werden müssen (vgl. BGE 80 III 9 /10).</w:t>
      </w:r>
    </w:p>
    <w:p>
      <w:r>
        <w:rPr>
          <w:b/>
        </w:rPr>
        <w:t>E. 3</w:t>
      </w:r>
    </w:p>
    <w:p>
      <w:r>
        <w:t>Da der Rekurs abgewiesen wird und keine Kosten auferlegt werden, erübrigt es sich, von Dr. S. Vollmachten für das Rekursverfahren einzuverlangen.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