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25</w:t>
      </w:r>
    </w:p>
    <w:p>
      <w:r>
        <w:t>Bundesgericht (BGE), 1981-01-01, FR</w:t>
      </w:r>
    </w:p>
    <w:p>
      <w:r>
        <w:rPr>
          <w:b/>
        </w:rPr>
        <w:t xml:space="preserve">Quelle: </w:t>
      </w:r>
      <w:r>
        <w:t>https://mcp.opencaselaw.ch/entscheid/bge_BGE_107_III_25</w:t>
      </w:r>
    </w:p>
    <w:p>
      <w:r>
        <w:t>FR: ATF 107 III 25</w:t>
      </w:r>
    </w:p>
    <w:p>
      <w:r>
        <w:t>IT: DTF 107 III 25</w:t>
      </w:r>
    </w:p>
    <w:p>
      <w:pPr>
        <w:pStyle w:val="Heading2"/>
      </w:pPr>
      <w:r>
        <w:t>Regeste</w:t>
      </w:r>
    </w:p>
    <w:p>
      <w:r>
        <w:t>Regeste Verrechnung im Konkurs und beim Nachlassvertrag mit Vermögensabtretung (Art. 213 Abs. 2, Art. 316m SchKG; Art. 32 VNB). Art. 213 Abs. 2 SchKG schliesst die Verrechnung nur bezüglich Forderungen aus, deren Rechtsgrund auf Tatsachen beruht, die in die Zeit nach der Konkurseröffnung oder der Bekanntmachung der Nachlassstundung fallen. Dass die Forderung zu jenem Zeitpunkt betagt oder bedingt war, ist ohne Belang.</w:t>
      </w:r>
    </w:p>
    <w:p>
      <w:r>
        <w:t>Regeste Compensation dans la faillite et le concordat par abandon d'actif (art. 213 al. 2, art. 316m LP; art. 32 OCB). L'art. 213 al. 2 LP n'exclut la compensation qu'avec des obligations qui ont leur cause juridique dans des faits postérieurs au prononcé de la faillite ou à la publication du sursis concordataire. Il importe peu qu'à cette date l'obligation ait été affectée d'un terme ou d'une condition.</w:t>
      </w:r>
    </w:p>
    <w:p>
      <w:r>
        <w:t>Regesto Compensazione nel fallimento e nel concordato con abbandono dell'attivo (art. 213 cpv. 2, art. 316m LEF; art. 32 RCB). L'art. 213 cpv. 2 LEF esclude la compensazione soltanto con obbligazioni la cui causa giuridica sia fondata su fatti posteriori alla dichiarazione del fallimento o alla pubblicazione della mora concordataria. È irrilevante che l'obbligazione fosse a quel momento sottoposta a termine o a condizione.</w:t>
      </w:r>
    </w:p>
    <w:p>
      <w:pPr>
        <w:pStyle w:val="Heading2"/>
      </w:pPr>
      <w:r>
        <w:t>Erwägungen</w:t>
      </w:r>
    </w:p>
    <w:p>
      <w:r>
        <w:rPr>
          <w:b/>
        </w:rPr>
        <w:t>E. 3</w:t>
      </w:r>
    </w:p>
    <w:p>
      <w:r>
        <w:t>a) La compensation de deux créances suppose qu'elles portent l'une et l'autre sur des sommes d'argent ou sur d'autres prestations de même nature. Cela n'est pas contesté en l'espèce. Il faut en outre que le débiteur de l'obligation à éteindre soit le bénéficiaire de celle opposée en compensation. La défenderesse estime que tel n'est pas le cas: sa prétention au paiement d'une part de liquidation serait dirigée non contre les demandeurs mais contre le liquidateur de la société simple qu'ils ont constituée. Cette objection est dénuée de tout fondement, car le liquidateur d'une société de personnes à laquelle il n'appartient pas, n'est que le mandataire ou l'employé des associés. Il ne BGE 107 III 25 S. 27 répond pas personnellement de l'exécution de leurs obligations réciproques, notamment celles de concourir à la liquidation et au partage, et de payer le montant des parts. Si d'ailleurs, comme la défenderesse semble à tort le penser, le liquidateur était le successeur universel des associés, il acquerrait également leurs droits et leurs créances, de sorte que la condition de réciprocité nécessaire à la compensation n'en serait pas affectée. b) La compensation ne peut avoir lieu normalement qu'entre deux dettes exigibles ( art. 120 al. 1 CO ). L' art. 123 al. 1 CO autorise toutefois, dans la faillite, l'exercice de la compensation au moyen de créances contre le débiteur commun sans égard à leur exigibilité. L' art. 208 LP rend d'ailleurs exigibles toutes les créances contre le failli qui ne sont pas garanties par des gages sur ses immeubles. Selon la doctrine et la jurisprudence, la compensation dans la faillite ne suppose pas non plus l'exigibilité de la créance appartenant au débiteur commun ( ATF 42 III 276 s. consid. 5, ATF 39 II 393 s. consid. 2; FAVRE, Droit des poursuites, 3e éd., p. 294; JAEGER, Commentaire de la loi fédérale sur la poursuite, n. 4 ad art. 213; AMONN, Grundriss des Schuldbetreibungs- und Konkursrechts, p. 302). Or ce qui vaut en la matière pour la procédure de faillite s'applique par analogie au concordat par abandon d'actif (cf. art. 316m LP , art. 32 OCB ; ATF 40 III 304 ). Il s'ensuit que la date à laquelle les prétentions respectives des demandeurs et de la défenderesse sont devenues exigibles, n'a pas d'incidence sur le sort de la présente action. c) Aux termes de l' art. 213 al. 2 ch. 2 LP , la compensation n'a pas lieu lorsque le créancier du failli est devenu son débiteur ou celui de la masse postérieurement à l'ouverture de la faillite. Cette règle s'applique au concordat bancaire par abandon d'actif, à ceci près que le point de démarcation y est remplacé par la publication du sursis concordataire, éventuellement celle de l'ajournement de la faillite selon l' art. 725 al. 4 CO ( art. 32 OCB ). La défenderesse soutient que son droit au paiement d'une part de liquidation n'a pu naître au plus tôt qu'à la dissolution de la société simple dont elle faisait partie avec les demandeurs. Selon l' art. 545 al. 1 ch. 3 CO , la société prend fin par la faillite de l'un des associés. La défenderesse ne conteste pas, sur ce point, l'assimilation du concordat par abandon d'actif au prononcé de faillite. Elle relève cependant que la BGE 107 III 25 S. 28 Cour de justice n'a homologué son concordat que par décision du 23 novembre 1978, confirmée par le Tribunal fédéral le 31 mai 1979. Elle fait valoir qu'elle avait fermé ses guichets le 6 mai 1977 déjà, qu'elle avait obtenu un sursis concordataire le 13 juillet 1977, publié le 20 juillet, et que la limite dans le temps prévue à l' art. 32 OCB pour la compensation des créances se situe donc, en l'espèce, en 1977, bien avant l'homologation de son concordat et la dissolution de la société simple. De l'avis de la défenderesse, sa prétention au paiement d'une part de liquidation, née au moment de la dissolution de la société, ne pourrait dès lors être compensée avec la créance antérieure des demandeurs, issue des relations de compte courant. Selon la doctrine et la jurisprudence, l' art. 213 al. 2 LP n'interdit pas la compensation du seul fait que l'une des créances est affectée d'un terme ou d'une condition. La faculté de compenser n'est exclue que si la créance tire sa cause juridique de faits postérieurs à l'ouverture de la faillite ( ATF 106 III 117 consid. 3, ATF 95 III 57 , 21 p. 879 s.; BLUMENSTEIN, Handbuch des Schweizerischen Schuldbetreibungsrechtes, p. 646; JAEGER, op.cit., n. 9 et 12 ad art. 213; FAVRE, op.cit., p. 295; BRAND FJS n. 1000 p. 14, n. 1170 p. 9). Car la disposition précitée doit prévenir les abus que pourrait provoquer la faculté de compenser dans la faillite, doit empêcher que la condition nécessaire de réciprocité ne soit créée au préjudice de la masse par des actes postérieurs au prononcé de faillite, notamment par des changements dans la personne de créanciers ou des débiteur ( ATF 42 III 389 ). On outrepasserait son but en l'appliquant de manière à interdire la compensation à un créancier qui, avant l'ouverture de la procédure d'exécution générale, pouvait de bonne foi compter sur l'exercice de cette faculté. La défenderesse n'a pu prétendre au paiement de sa part de liquidation qu'après la dissolution de la société simple. La date à laquelle sa créance est devenue exigible n'est toutefois pas décisive pour le sort du litige et il importe peu qu'elle soit postérieure à la limite que l' art. 32 OCB fixe en matière de compensation. Le droit de la défenderesse a en effet sa cause dans le contrat de société conclu avec les demandeurs, et dans les apports qu'elle a faits pour la réalisation du but commun. Bien que subordonné dans son exercice à la dissolution de la société, ce droit existait déjà auparavant, au moins de manière virtuelle. Les faits qui en sont BGE 107 III 25 S. 29 la source sont manifestement antérieurs au sursis concordataire dont la défenderesse a bénéficié. Partant, l' art. 213 al. 2 ch. 2 LP ne s'applique pas en l'espèce et n'interdit pas la compensation de la créance des demandeurs avec celle de la défenderesse. La solution contraire priverait d'ailleurs les demandeurs de la faculté de compenser alors qu'elle pouvait raisonnablement leur apparaître comme garantie avant l'homologation du concordat. Hors faillite, la défenderesse n'aurait pu en effet exiger le paiement de sa part de liquidation sans se laisser opposer le solde créditeur du compte ouvert auprès d'elle. L'application de l' art. 213 al. 2 ch. 2 LP ne servirait dès lors pas à prévenir des opérations postérieures à l'octroi du sursis concordataire et destinées ou propres à créer, au préjudice de la masse, la condition de réciprocité nécessaire à la compensation. Elle imposerait aux demandeurs un sacrifice que le but de la loi ne commande pas et que rien ne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