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125 vom 1. Januar 1981</w:t>
      </w:r>
    </w:p>
    <w:p>
      <w:r>
        <w:t>Bundesgericht (BGE), 1981-01-01, FR</w:t>
      </w:r>
    </w:p>
    <w:p>
      <w:r>
        <w:rPr>
          <w:b/>
        </w:rPr>
        <w:t xml:space="preserve">Quelle: </w:t>
      </w:r>
      <w:r>
        <w:t>https://mcp.opencaselaw.ch/entscheid/bge_BGE_107_IB_125</w:t>
      </w:r>
    </w:p>
    <w:p>
      <w:r>
        <w:t>FR: BGE BGE 107 IB 125 du 1 janvier 1981</w:t>
      </w:r>
    </w:p>
    <w:p>
      <w:r>
        <w:t>IT: BGE BGE 107 IB 125 del 1 gennaio 1981</w:t>
      </w:r>
    </w:p>
    <w:p>
      <w:pPr>
        <w:pStyle w:val="Heading2"/>
      </w:pPr>
      <w:r>
        <w:t>Regeste</w:t>
      </w:r>
    </w:p>
    <w:p>
      <w:r>
        <w:t>Regeste Gewässerschutz (Art. 5 Abs. 2 AGSchV. Art. 8 und 20 VWF, Art. 13 TTV). 1. Richtlinien eines privaten Verbandes; Frage der Rechtsnatur offen gelassen; Verhältnis zur AGSchV (E. 2 a und 2 c). 2. Ausnahmen nach Art. 20 VWF, wonach in der Zone A das Erstellen neuer und das Erweitern bestehender Anlagen für flüssige Brenn- und Treibstoffe untersagt ist; restriktive Auslegung, Sinn dieser Bestimmung (E. 2 b). 3. Wer eine Ausnahmebewilligung erlangen will, kann nicht unter Berufung auf den Gleichbehandlungsgrundsatz auf ähnliche Werke wie das geplante hinweisen, wenn diese zwar unter dem geltenden Recht ausgeführt wurden, aber noch entsprechend dem alten Recht bewilligt worden waren (E. 3).</w:t>
      </w:r>
    </w:p>
    <w:p>
      <w:r>
        <w:t>Regeste Protection des eaux (art. 5 al. 2 OGPEP, 8 et 20 OPEL, 13 PEL). 1. Directives d'un organisme privé; nature juridique, question laissée ouverte; rapport avec la loi (consid. 2 a et 2 c). 2. Exception à l'interdiction de construire dans la zone A de nouveaux réservoirs de combustibles ou de carburants liquides et d'agrandir des réservoirs existants, art. 20 OPEL; interprétation restrictive et but de la loi (consid. 2 b). 3. Celui qui se prévaut du principe de l'égalité de traitement pour obtenir une autorisation exceptionnelle ne peut se référer à des ouvrages, semblables à celui qu'il projette, exécutés sous l'empire du droit actuel, mais autorisés sous celui de l'ancien droit auquel ils étaient conformes (consid. 3).</w:t>
      </w:r>
    </w:p>
    <w:p>
      <w:r>
        <w:t>Regesto Protezione delle acque (art. 5 cpv. 2 OPA, art. 8, 20 OPALN, art. 13 delle Prescrizioni tecniche sui depositi di liquidi (PDL). 1. Direttive di un organismo privato; natura giuridica (questione lasciata aperta); loro relazione con la legge (consid. 2 a, 2 c). 2. Eccezioni al divieto di costruire nella zona A nuovi serbatoi di combustibili o di carburanti liquidi, e di ampliare serbatoi esistenti, ai sensi dell'art. 20 OPALN; interpretazione restrittiva, scopo di tale norma (consid. 2 b). 3. Chi invoca il principio della parità di trattamento per ottenere un'autorizzazione derogatoria non può riferirsi ad opere analoghe a quella da lui progettata, eseguite sotto l'imperio del diritto in vigore ma autorizzate quando vigeva il diritto precedente, al quale erano conformi (consid. 3).</w:t>
      </w:r>
    </w:p>
    <w:p>
      <w:pPr>
        <w:pStyle w:val="Heading2"/>
      </w:pPr>
      <w:r>
        <w:t>Erwägungen</w:t>
      </w:r>
    </w:p>
    <w:p>
      <w:r>
        <w:rPr>
          <w:b/>
        </w:rPr>
        <w:t>E. 2</w:t>
      </w:r>
    </w:p>
    <w:p>
      <w:r>
        <w:t>Le second (art. 20 al. 2 b OPEL) se rapporte à la garantie de l'approvisionnement en énergie d'un grand consommateur. Il convient de relever que le texte allemand de l'art. 20 al. 2 b OPEL n'a pas exactement la même teneur que les versions française et italienne. Celles-ci déclarent en effet qu'une exception à l'interdiction de construire de nouveaux réservoirs dans la zone A s'impose lorsque "l'approvisionnement en énergie d'un grand consommateur installé dans la zone A... ne peut être assuré..." (en italien: "installato nella zona A"). Le texte allemand ne précise pas que l'exception ne s'applique qu'à un grand consommateur installé dans la même zone (zone A) que les réservoirs qui l'approvisionnent. BGE 107 Ib 125 S. 131 La divergence de textes n'a aucun effet en l'espèce, dès lors que l'approvisionnement du grand consommateur, savoir l'aéroport de Genève-Cointrin, est assuré par les réservoirs existants et n'est pas mis en cause; l'augmentation de la capacité des réservoirs n'aurait donc pas pour but essentiel d'approvisionner ce consommateur; de surcroît, l'arrêt attaqué n'impose nullement une réduction de la capacité actuelle des réservoirs, ni la suppression ou le déplacement du dépôt. Enfin le motif invoqué par la recourante et fondé sur les besoins d'améliorer le stockage des carburants, eu égard à la pénurie d'énergie, sort, comme on l'a relevé plus haut, du but assigné par le législateur à l'art. 20 OPEL. Pour ces raisons, il n'y a pas lieu en l'espèce de faire bénéficier la recourante de l'exception de l'art. 20 al. 2 b, quel qu'en soit le texte. c) On constate donc que la réalisation du projet de la recourante visant à adapter ses installations aux prescriptions contenues dans les nouvelles directives de la Carbura conduirait à une violation de l'art. 20 OPEL. Une telle conséquence n'est pas admissible. Le but assigné aux directives de la Carbura est en effet le même que celui poursuivi par l'art. 20 OPEL. Dans les deux cas, il s'agit de dispositions qui tendent à la mise en oeuvre des principes institués par la législation fédérale sur la protection des eaux. Si les moyens sont différents, ils n'en sont pas moins complémentaires. La volonté de se conformer à l'une de ces règles ne peut, partant, servir de prétexte pour l'obtention d'une autorisation de construire exceptionnelle dérogeant à l'autre règle. L'adaptation à des normes techniques édictées pour des raisons de sécurité ne saurait justifier une augmentation de la capacité d'un dépôt, équivalant à la construction d'une installation de 9 millions de litres, dans une zone où, en principe, elle est rigoureusement interdite du fait du danger qu'elle représente pour la nappe phréatique. Quoi qu'il en soit, une application stricte des directives de la Carbura sur l'unification de la hauteur des manteaux de citerne n'exclut nullement, à priori, que soit respectée l'interdiction d'augmenter la quantité de combustibles et de carburants liquides entreposés dans la zone A. La proposition de l'administration cantonale de réduire la hauteur des citernes les plus élevées à celle des citernes les plus basses, qui a pour conséquence de réduire la capacité d'entreposage et que, pour ce motif, l'Office fédéral de l'environnement a estimé excessivement coûteuse, n'est sans doute pas la seule solution concevable. Il est pour le moins curieux que l'Office fédéral de l'environnement, considérant excessif le sacrifice BGE 107 Ib 125 S. 132 qui serait ainsi exigé de la recourante, se soit purement et simplement rallié au projet de celle-ci, inadmissible au regard du texte clair de la loi. Si l'autorité administrative estime que les conditions d'exploitation actuelles des installations de la recourante exigent leur adaptation aux nouvelles directives de la Carbura, il lui appartiendra d'examiner une formule qui soit conciliable avec la règle impérative de l'art. 20 OPEL. On ne voit pas pourquoi, par exemple, l'élévation des citernes les plus basses au niveau des citernes les plus élevées ne pourrait pas être assortie de la cancellation parallèle de réservoirs pour une capacité utile équivalente à l'augmentation de volume résultant de cette opération. Il existe sans doute, également, d'autres mesures de sécurité envisageables, propres à réduire dans des proportions raisonnables les risques inhérents à la communication des divers éléments de l'installation. C'est donc à bon droit que le Tribunal administratif a annulé la décision de la Commission de recours qui autorisait Sasma S.A. à augmenter de plus de 9000 m3 le volume utile de ses réservoirs.</w:t>
      </w:r>
    </w:p>
    <w:p>
      <w:r>
        <w:rPr>
          <w:b/>
        </w:rPr>
        <w:t>E. 3</w:t>
      </w:r>
    </w:p>
    <w:p>
      <w:r>
        <w:t>L'argument tiré par la recourante d'une violation de l'intérêt public et du principe de la proportionnalité n'a pas de consistance. On ne saurait contester sérieusement l'intérêt public à la base d'une restriction, fondé au reste sur un texte légal clair, qui vise à éviter l'entreposage de 9 millions de litres supplémentaires d'hydrocarbures dans une zone hautement protégée. Il ne peut davantage être question d'une violation du principe de la proportionnalité sous le prétexte que l'autorité cantonale aurait méconnu que l'approvisionnement du pays en produits pétroliers relève également de l'intérêt public. Cet intérêt public incontestable n'est en effet pas en jeu ici. La demande d'autorisation de construire n'avait pas pour but l'accroissement de la capacité des installations litigieuses, celle-ci n'étant que la résultante d'une mesure d'adaptation à des prescriptions de sécurité. Sous un autre angle, l'arrêt attaqué ne postule nullement une réduction de cette capacité, voire la suppression du dépôt ou son placement. Il laisse la porte ouverte à toutes solutions raisonnables qui respecteraient les exigences légales et se borne à exclure une augmentation de la capacité des installations en dérogation aux impératifs légaux. C'est également en vain que la recourante fait appel tant au principe de l'égalité de traitement qu'à celui de la bonne foi. S'il est vrai que Coop Genève a construit ou transformé ses dépôts dans la zone A de Vernier, après l'entrée en vigueur de la carte des zones de protection des eaux, elle l'a fait sur la base d'une autorisation qui lui avait été délivrée antérieurement, en BGE 107 Ib 125 S. 133 conformité du droit existant alors. Une interdiction d'exécuter les travaux à la suite de l'entrée en vigueur du nouveau plan n'aurait été possible que si les conditions pour la révocation de l'autorisation antérieurement accordée avaient été remplies, ce que la recourante ne démontre pas. Quant au principe de la bonne foi, il ne peut prévaloir, en principe, sur les modifications législatives. De plus, la recourante n'a pas apporté le moindre indice que des assurances formelles lui auraient été données par l'autorité compétente pour que l'adaptation de son dépôt aux nouvelles prescriptions techniques se fasse dans les formes souhaitées par elle. Ce qui est déterminant en l'espèce, c'est que ni le Tribunal administratif ni le Département n'ont, pour l'instant, posé l'exigence d'une adaptation aux directives de la Carbura sollicitée spontanément par la recourante. La lettre du Service cantonal des contrôles de la pollution du 25 novembre 1977 ne traite nullement de l'obligation de surélever les citernes lorsqu'elle parle de la remise en état de l'installation. Quant au Département, ni dans son recours au Tribunal administratif, ni dans sa réponse au recours de droit administratif, il n'a posé l'exigence de l'application des directives de la Carbura.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